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65" w:rsidRPr="00CE0065" w:rsidRDefault="0049520D" w:rsidP="00B77D02">
      <w:pPr>
        <w:jc w:val="center"/>
        <w:rPr>
          <w:b/>
        </w:rPr>
      </w:pPr>
      <w:bookmarkStart w:id="0" w:name="_GoBack"/>
      <w:bookmarkEnd w:id="0"/>
      <w:r>
        <w:rPr>
          <w:b/>
          <w:noProof/>
        </w:rPr>
        <w:drawing>
          <wp:inline distT="0" distB="0" distL="0" distR="0">
            <wp:extent cx="2921000" cy="711200"/>
            <wp:effectExtent l="0" t="0" r="0" b="0"/>
            <wp:docPr id="1" name="Picture 1" descr="umb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b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00" cy="711200"/>
                    </a:xfrm>
                    <a:prstGeom prst="rect">
                      <a:avLst/>
                    </a:prstGeom>
                    <a:noFill/>
                    <a:ln>
                      <a:noFill/>
                    </a:ln>
                  </pic:spPr>
                </pic:pic>
              </a:graphicData>
            </a:graphic>
          </wp:inline>
        </w:drawing>
      </w:r>
    </w:p>
    <w:p w:rsidR="00CE0065" w:rsidRPr="00D85116" w:rsidRDefault="00885ACD" w:rsidP="00E7231D">
      <w:pPr>
        <w:jc w:val="center"/>
        <w:rPr>
          <w:b/>
        </w:rPr>
      </w:pPr>
      <w:r w:rsidRPr="00D85116">
        <w:rPr>
          <w:b/>
        </w:rPr>
        <w:t xml:space="preserve">UMBC </w:t>
      </w:r>
      <w:r w:rsidR="003C5FB7" w:rsidRPr="00D85116">
        <w:rPr>
          <w:b/>
        </w:rPr>
        <w:t>COST TRANSFER</w:t>
      </w:r>
      <w:r w:rsidR="00AD7D1E">
        <w:rPr>
          <w:b/>
        </w:rPr>
        <w:t xml:space="preserve"> PROCEDURES</w:t>
      </w:r>
    </w:p>
    <w:p w:rsidR="00D85116" w:rsidRDefault="00D85116" w:rsidP="00D85116">
      <w:pPr>
        <w:pStyle w:val="Heading1"/>
      </w:pPr>
      <w:r w:rsidRPr="00D85116">
        <w:t>Responsibilit</w:t>
      </w:r>
      <w:r w:rsidR="004A335F">
        <w:t>i</w:t>
      </w:r>
      <w:r w:rsidRPr="00D85116">
        <w:t>es</w:t>
      </w:r>
    </w:p>
    <w:p w:rsidR="000E6818" w:rsidRPr="00D85116" w:rsidRDefault="00D85116" w:rsidP="00D85116">
      <w:pPr>
        <w:pStyle w:val="Heading1"/>
        <w:numPr>
          <w:ilvl w:val="0"/>
          <w:numId w:val="0"/>
        </w:numPr>
        <w:ind w:left="360" w:firstLine="360"/>
        <w:rPr>
          <w:rFonts w:ascii="Times New Roman" w:hAnsi="Times New Roman"/>
          <w:b w:val="0"/>
          <w:sz w:val="24"/>
          <w:szCs w:val="24"/>
        </w:rPr>
      </w:pPr>
      <w:r w:rsidRPr="00D85116">
        <w:rPr>
          <w:rFonts w:ascii="Times New Roman" w:hAnsi="Times New Roman"/>
          <w:b w:val="0"/>
          <w:sz w:val="24"/>
          <w:szCs w:val="24"/>
        </w:rPr>
        <w:t xml:space="preserve">A. </w:t>
      </w:r>
      <w:r w:rsidR="000E6818" w:rsidRPr="00D85116">
        <w:rPr>
          <w:rFonts w:ascii="Times New Roman" w:hAnsi="Times New Roman"/>
          <w:b w:val="0"/>
          <w:sz w:val="24"/>
          <w:szCs w:val="24"/>
        </w:rPr>
        <w:t xml:space="preserve">Principal Investigators are responsible for: </w:t>
      </w:r>
    </w:p>
    <w:p w:rsidR="000E6818" w:rsidRPr="00D85116" w:rsidRDefault="000E6818" w:rsidP="000E6818">
      <w:pPr>
        <w:autoSpaceDE w:val="0"/>
        <w:autoSpaceDN w:val="0"/>
        <w:adjustRightInd w:val="0"/>
        <w:ind w:left="1080"/>
        <w:rPr>
          <w:color w:val="000000"/>
        </w:rPr>
      </w:pPr>
      <w:r w:rsidRPr="00D85116">
        <w:rPr>
          <w:color w:val="000000"/>
        </w:rPr>
        <w:t xml:space="preserve">1. Reviewing the charges on their awards in order to </w:t>
      </w:r>
      <w:r w:rsidR="00373B75">
        <w:rPr>
          <w:color w:val="000000"/>
        </w:rPr>
        <w:t xml:space="preserve">ensure </w:t>
      </w:r>
      <w:r w:rsidRPr="00D85116">
        <w:rPr>
          <w:color w:val="000000"/>
        </w:rPr>
        <w:t xml:space="preserve">timely </w:t>
      </w:r>
      <w:r w:rsidR="00373B75">
        <w:rPr>
          <w:color w:val="000000"/>
        </w:rPr>
        <w:t>and accurate posting of expenditures</w:t>
      </w:r>
      <w:r w:rsidRPr="00D85116">
        <w:rPr>
          <w:color w:val="000000"/>
        </w:rPr>
        <w:t xml:space="preserve">. </w:t>
      </w:r>
    </w:p>
    <w:p w:rsidR="000E6818" w:rsidRPr="00D85116" w:rsidRDefault="000E6818" w:rsidP="000E6818">
      <w:pPr>
        <w:autoSpaceDE w:val="0"/>
        <w:autoSpaceDN w:val="0"/>
        <w:adjustRightInd w:val="0"/>
        <w:ind w:left="1080"/>
        <w:rPr>
          <w:color w:val="000000"/>
        </w:rPr>
      </w:pPr>
      <w:r w:rsidRPr="00D85116">
        <w:rPr>
          <w:color w:val="000000"/>
        </w:rPr>
        <w:t xml:space="preserve">2. Communicating with their department administrators in order to facilitate the appropriate </w:t>
      </w:r>
      <w:r w:rsidR="00CE2247">
        <w:rPr>
          <w:color w:val="000000"/>
        </w:rPr>
        <w:t>record</w:t>
      </w:r>
      <w:r w:rsidRPr="00D85116">
        <w:rPr>
          <w:color w:val="000000"/>
        </w:rPr>
        <w:t xml:space="preserve">ing of original costs. </w:t>
      </w:r>
    </w:p>
    <w:p w:rsidR="000E6818" w:rsidRDefault="000E6818" w:rsidP="000E6818">
      <w:pPr>
        <w:autoSpaceDE w:val="0"/>
        <w:autoSpaceDN w:val="0"/>
        <w:adjustRightInd w:val="0"/>
        <w:ind w:left="1080"/>
        <w:rPr>
          <w:color w:val="000000"/>
        </w:rPr>
      </w:pPr>
      <w:r w:rsidRPr="00D85116">
        <w:rPr>
          <w:color w:val="000000"/>
        </w:rPr>
        <w:t xml:space="preserve">3. Signing all cost transfers greater than 90 days old that affect their projects. </w:t>
      </w:r>
    </w:p>
    <w:p w:rsidR="00A42EBD" w:rsidRPr="00D85116" w:rsidRDefault="00A42EBD" w:rsidP="000E6818">
      <w:pPr>
        <w:autoSpaceDE w:val="0"/>
        <w:autoSpaceDN w:val="0"/>
        <w:adjustRightInd w:val="0"/>
        <w:ind w:left="1080"/>
        <w:rPr>
          <w:color w:val="000000"/>
        </w:rPr>
      </w:pPr>
      <w:r>
        <w:rPr>
          <w:color w:val="000000"/>
        </w:rPr>
        <w:t>4. Timely Effort Report certification.</w:t>
      </w:r>
    </w:p>
    <w:p w:rsidR="00D85116" w:rsidRDefault="00D85116" w:rsidP="000E6818">
      <w:pPr>
        <w:autoSpaceDE w:val="0"/>
        <w:autoSpaceDN w:val="0"/>
        <w:adjustRightInd w:val="0"/>
        <w:ind w:left="720"/>
        <w:rPr>
          <w:color w:val="000000"/>
        </w:rPr>
      </w:pPr>
    </w:p>
    <w:p w:rsidR="000E6818" w:rsidRPr="00D85116" w:rsidRDefault="00D85116" w:rsidP="000E6818">
      <w:pPr>
        <w:autoSpaceDE w:val="0"/>
        <w:autoSpaceDN w:val="0"/>
        <w:adjustRightInd w:val="0"/>
        <w:ind w:left="720"/>
        <w:rPr>
          <w:color w:val="000000"/>
        </w:rPr>
      </w:pPr>
      <w:r w:rsidRPr="00D85116">
        <w:rPr>
          <w:color w:val="000000"/>
        </w:rPr>
        <w:t xml:space="preserve">B. </w:t>
      </w:r>
      <w:r w:rsidR="000E6818" w:rsidRPr="00D85116">
        <w:rPr>
          <w:color w:val="000000"/>
        </w:rPr>
        <w:t xml:space="preserve">Department Administrators are responsible for: </w:t>
      </w:r>
    </w:p>
    <w:p w:rsidR="000E6818" w:rsidRPr="00D85116" w:rsidRDefault="000E6818" w:rsidP="000E6818">
      <w:pPr>
        <w:autoSpaceDE w:val="0"/>
        <w:autoSpaceDN w:val="0"/>
        <w:adjustRightInd w:val="0"/>
        <w:ind w:left="1080"/>
        <w:rPr>
          <w:color w:val="000000"/>
        </w:rPr>
      </w:pPr>
      <w:r w:rsidRPr="00D85116">
        <w:rPr>
          <w:color w:val="000000"/>
        </w:rPr>
        <w:t xml:space="preserve">1. Reviewing the </w:t>
      </w:r>
      <w:r w:rsidR="00CE2247">
        <w:rPr>
          <w:color w:val="000000"/>
        </w:rPr>
        <w:t>expenditures</w:t>
      </w:r>
      <w:r w:rsidR="009D4BE7">
        <w:rPr>
          <w:color w:val="000000"/>
        </w:rPr>
        <w:t xml:space="preserve"> </w:t>
      </w:r>
      <w:r w:rsidRPr="00D85116">
        <w:rPr>
          <w:color w:val="000000"/>
        </w:rPr>
        <w:t xml:space="preserve">on their projects to ensure the timely detection and correction of errors. </w:t>
      </w:r>
    </w:p>
    <w:p w:rsidR="000E6818" w:rsidRPr="00D85116" w:rsidRDefault="000E6818" w:rsidP="000E6818">
      <w:pPr>
        <w:autoSpaceDE w:val="0"/>
        <w:autoSpaceDN w:val="0"/>
        <w:adjustRightInd w:val="0"/>
        <w:ind w:left="1080"/>
        <w:rPr>
          <w:color w:val="000000"/>
        </w:rPr>
      </w:pPr>
      <w:r w:rsidRPr="00D85116">
        <w:rPr>
          <w:color w:val="000000"/>
        </w:rPr>
        <w:t xml:space="preserve">2. Appropriately requesting and documenting cost transfers. </w:t>
      </w:r>
    </w:p>
    <w:p w:rsidR="00D85116" w:rsidRDefault="00D85116" w:rsidP="000E6818">
      <w:pPr>
        <w:autoSpaceDE w:val="0"/>
        <w:autoSpaceDN w:val="0"/>
        <w:adjustRightInd w:val="0"/>
        <w:ind w:left="720"/>
        <w:rPr>
          <w:color w:val="000000"/>
        </w:rPr>
      </w:pPr>
    </w:p>
    <w:p w:rsidR="00D85116" w:rsidRDefault="00D85116" w:rsidP="000E6818">
      <w:pPr>
        <w:autoSpaceDE w:val="0"/>
        <w:autoSpaceDN w:val="0"/>
        <w:adjustRightInd w:val="0"/>
        <w:ind w:left="720"/>
        <w:rPr>
          <w:color w:val="000000"/>
        </w:rPr>
      </w:pPr>
    </w:p>
    <w:p w:rsidR="000E6818" w:rsidRPr="00D85116" w:rsidRDefault="000E6818" w:rsidP="000E6818">
      <w:pPr>
        <w:autoSpaceDE w:val="0"/>
        <w:autoSpaceDN w:val="0"/>
        <w:adjustRightInd w:val="0"/>
        <w:ind w:left="720"/>
        <w:rPr>
          <w:color w:val="000000"/>
        </w:rPr>
      </w:pPr>
      <w:r w:rsidRPr="00D85116">
        <w:rPr>
          <w:color w:val="000000"/>
        </w:rPr>
        <w:t xml:space="preserve">D. Contract &amp; Grant </w:t>
      </w:r>
      <w:r w:rsidR="00B74B88">
        <w:rPr>
          <w:color w:val="000000"/>
        </w:rPr>
        <w:t>A</w:t>
      </w:r>
      <w:r w:rsidRPr="00D85116">
        <w:rPr>
          <w:color w:val="000000"/>
        </w:rPr>
        <w:t xml:space="preserve">ccounting is responsible for: </w:t>
      </w:r>
    </w:p>
    <w:p w:rsidR="00373B75" w:rsidRPr="00D85116" w:rsidRDefault="000E6818" w:rsidP="00373B75">
      <w:pPr>
        <w:autoSpaceDE w:val="0"/>
        <w:autoSpaceDN w:val="0"/>
        <w:adjustRightInd w:val="0"/>
        <w:ind w:left="1080"/>
        <w:rPr>
          <w:color w:val="000000"/>
        </w:rPr>
      </w:pPr>
      <w:r w:rsidRPr="00D85116">
        <w:rPr>
          <w:color w:val="000000"/>
        </w:rPr>
        <w:t xml:space="preserve">1. </w:t>
      </w:r>
      <w:r w:rsidR="00373B75" w:rsidRPr="00D85116">
        <w:rPr>
          <w:color w:val="000000"/>
        </w:rPr>
        <w:t>Reviewing and approving non</w:t>
      </w:r>
      <w:r w:rsidR="009D4BE7">
        <w:rPr>
          <w:color w:val="000000"/>
        </w:rPr>
        <w:t>-</w:t>
      </w:r>
      <w:r w:rsidR="00373B75" w:rsidRPr="00D85116">
        <w:rPr>
          <w:color w:val="000000"/>
        </w:rPr>
        <w:t xml:space="preserve">payroll cost transfers. </w:t>
      </w:r>
    </w:p>
    <w:p w:rsidR="00373B75" w:rsidRDefault="00373B75" w:rsidP="00373B75">
      <w:pPr>
        <w:autoSpaceDE w:val="0"/>
        <w:autoSpaceDN w:val="0"/>
        <w:adjustRightInd w:val="0"/>
        <w:ind w:left="1080"/>
        <w:rPr>
          <w:color w:val="000000"/>
        </w:rPr>
      </w:pPr>
      <w:r w:rsidRPr="00D85116">
        <w:rPr>
          <w:color w:val="000000"/>
        </w:rPr>
        <w:t xml:space="preserve">2. Reviewing and </w:t>
      </w:r>
      <w:r w:rsidR="005C5A56">
        <w:rPr>
          <w:color w:val="000000"/>
        </w:rPr>
        <w:t>approving</w:t>
      </w:r>
      <w:r w:rsidRPr="00D85116">
        <w:rPr>
          <w:color w:val="000000"/>
        </w:rPr>
        <w:t xml:space="preserve"> payroll cost transfers using retros. </w:t>
      </w:r>
    </w:p>
    <w:p w:rsidR="00D85116" w:rsidRPr="00D85116" w:rsidRDefault="00A33653" w:rsidP="00A33653">
      <w:pPr>
        <w:autoSpaceDE w:val="0"/>
        <w:autoSpaceDN w:val="0"/>
        <w:adjustRightInd w:val="0"/>
        <w:ind w:left="1080"/>
        <w:rPr>
          <w:color w:val="000000"/>
        </w:rPr>
      </w:pPr>
      <w:r>
        <w:rPr>
          <w:color w:val="000000"/>
        </w:rPr>
        <w:t xml:space="preserve">3. </w:t>
      </w:r>
      <w:r w:rsidR="000E6818" w:rsidRPr="00D85116">
        <w:rPr>
          <w:color w:val="000000"/>
        </w:rPr>
        <w:t>Reviewing, approving and f</w:t>
      </w:r>
      <w:r w:rsidR="00D85116">
        <w:rPr>
          <w:color w:val="000000"/>
        </w:rPr>
        <w:t xml:space="preserve">acilitating the recertification </w:t>
      </w:r>
      <w:r w:rsidR="000E6818" w:rsidRPr="00D85116">
        <w:rPr>
          <w:color w:val="000000"/>
        </w:rPr>
        <w:t xml:space="preserve">of effort </w:t>
      </w:r>
      <w:r w:rsidR="00D85116">
        <w:rPr>
          <w:color w:val="000000"/>
        </w:rPr>
        <w:t>reports</w:t>
      </w:r>
      <w:r w:rsidR="000E6818" w:rsidRPr="00D85116">
        <w:rPr>
          <w:color w:val="000000"/>
        </w:rPr>
        <w:t xml:space="preserve">. </w:t>
      </w:r>
    </w:p>
    <w:p w:rsidR="00D85116" w:rsidRPr="00D85116" w:rsidRDefault="00D85116" w:rsidP="00A33653">
      <w:pPr>
        <w:autoSpaceDE w:val="0"/>
        <w:autoSpaceDN w:val="0"/>
        <w:adjustRightInd w:val="0"/>
        <w:ind w:left="1080"/>
        <w:rPr>
          <w:color w:val="000000"/>
        </w:rPr>
      </w:pPr>
    </w:p>
    <w:p w:rsidR="00D85116" w:rsidRDefault="00D85116" w:rsidP="00D85116">
      <w:pPr>
        <w:pStyle w:val="Heading1"/>
      </w:pPr>
      <w:r>
        <w:t>Procedures</w:t>
      </w:r>
    </w:p>
    <w:p w:rsidR="005D6373" w:rsidRPr="00D85116" w:rsidRDefault="005D6373" w:rsidP="005D6373">
      <w:pPr>
        <w:autoSpaceDE w:val="0"/>
        <w:autoSpaceDN w:val="0"/>
        <w:adjustRightInd w:val="0"/>
        <w:ind w:left="720"/>
        <w:rPr>
          <w:color w:val="000000"/>
        </w:rPr>
      </w:pPr>
      <w:r w:rsidRPr="00D85116">
        <w:rPr>
          <w:color w:val="000000"/>
        </w:rPr>
        <w:t xml:space="preserve">A. All cost transfers </w:t>
      </w:r>
      <w:r w:rsidR="00A42EBD">
        <w:rPr>
          <w:color w:val="000000"/>
        </w:rPr>
        <w:t xml:space="preserve">must </w:t>
      </w:r>
      <w:r w:rsidRPr="00D85116">
        <w:rPr>
          <w:color w:val="000000"/>
        </w:rPr>
        <w:t>contain an explanation as to why the cost transfer is necessary. If the cost transfer is necessary to correct an error, the explanation must fully explain how the error occurred. An explanation merely stating that the transfer was made “to correct error” or “to transfer to correct project” is not sufficient.</w:t>
      </w:r>
    </w:p>
    <w:p w:rsidR="005D6373" w:rsidRPr="00D85116" w:rsidRDefault="005D6373" w:rsidP="005D6373">
      <w:pPr>
        <w:autoSpaceDE w:val="0"/>
        <w:autoSpaceDN w:val="0"/>
        <w:adjustRightInd w:val="0"/>
        <w:ind w:left="720"/>
        <w:rPr>
          <w:color w:val="000000"/>
        </w:rPr>
      </w:pPr>
      <w:r w:rsidRPr="00D85116">
        <w:rPr>
          <w:color w:val="000000"/>
        </w:rPr>
        <w:t xml:space="preserve"> </w:t>
      </w:r>
    </w:p>
    <w:p w:rsidR="005D6373" w:rsidRPr="00D85116" w:rsidRDefault="005D6373" w:rsidP="005D6373">
      <w:pPr>
        <w:autoSpaceDE w:val="0"/>
        <w:autoSpaceDN w:val="0"/>
        <w:adjustRightInd w:val="0"/>
        <w:ind w:left="720"/>
        <w:rPr>
          <w:color w:val="000000"/>
        </w:rPr>
      </w:pPr>
      <w:r w:rsidRPr="00D85116">
        <w:rPr>
          <w:color w:val="000000"/>
        </w:rPr>
        <w:t xml:space="preserve">B. All cost transfers affecting sponsored chartstrings that are occurring more than 90 days from the original charge being corrected must also contain an explanation as to why the error was not discovered and corrected </w:t>
      </w:r>
      <w:r w:rsidR="00CE2247">
        <w:rPr>
          <w:color w:val="000000"/>
        </w:rPr>
        <w:t>with</w:t>
      </w:r>
      <w:r w:rsidRPr="00D85116">
        <w:rPr>
          <w:color w:val="000000"/>
        </w:rPr>
        <w:t xml:space="preserve">in </w:t>
      </w:r>
      <w:r w:rsidR="00CE2247">
        <w:rPr>
          <w:color w:val="000000"/>
        </w:rPr>
        <w:t>the required 90 day timeframe.</w:t>
      </w:r>
      <w:r w:rsidRPr="00D85116">
        <w:rPr>
          <w:color w:val="000000"/>
        </w:rPr>
        <w:t xml:space="preserve"> </w:t>
      </w:r>
    </w:p>
    <w:p w:rsidR="005D6373" w:rsidRPr="00D85116" w:rsidRDefault="005D6373" w:rsidP="005D6373">
      <w:pPr>
        <w:autoSpaceDE w:val="0"/>
        <w:autoSpaceDN w:val="0"/>
        <w:adjustRightInd w:val="0"/>
        <w:ind w:left="720"/>
        <w:rPr>
          <w:color w:val="000000"/>
        </w:rPr>
      </w:pPr>
    </w:p>
    <w:p w:rsidR="005D6373" w:rsidRPr="00D85116" w:rsidRDefault="005D6373" w:rsidP="005D6373">
      <w:pPr>
        <w:autoSpaceDE w:val="0"/>
        <w:autoSpaceDN w:val="0"/>
        <w:adjustRightInd w:val="0"/>
        <w:ind w:left="720"/>
        <w:rPr>
          <w:color w:val="000000"/>
        </w:rPr>
      </w:pPr>
      <w:r w:rsidRPr="00D85116">
        <w:rPr>
          <w:color w:val="000000"/>
        </w:rPr>
        <w:t xml:space="preserve">C. Nonpayroll cost transfers are performed using a journal entry. Journal entries may be initiated by anyone with a Department Journal Initiator role. If the journal involves more than one department, the department whose chartstring is being charged should initiate the journal entry. </w:t>
      </w:r>
    </w:p>
    <w:p w:rsidR="005D6373" w:rsidRPr="00D85116" w:rsidRDefault="005D6373" w:rsidP="005D6373">
      <w:pPr>
        <w:autoSpaceDE w:val="0"/>
        <w:autoSpaceDN w:val="0"/>
        <w:adjustRightInd w:val="0"/>
        <w:ind w:left="720"/>
        <w:rPr>
          <w:color w:val="000000"/>
        </w:rPr>
      </w:pPr>
    </w:p>
    <w:p w:rsidR="005D6373" w:rsidRDefault="005D6373" w:rsidP="005D6373">
      <w:pPr>
        <w:autoSpaceDE w:val="0"/>
        <w:autoSpaceDN w:val="0"/>
        <w:adjustRightInd w:val="0"/>
        <w:ind w:left="720"/>
        <w:rPr>
          <w:color w:val="000000"/>
        </w:rPr>
      </w:pPr>
      <w:r w:rsidRPr="00D85116">
        <w:rPr>
          <w:color w:val="000000"/>
        </w:rPr>
        <w:t>D. Payroll cost transfers performed within 90 days of the original transaction are performed using retro. For training and/or questions about the retro process, please contact Financial Services</w:t>
      </w:r>
      <w:r w:rsidR="00A42EBD">
        <w:rPr>
          <w:color w:val="000000"/>
        </w:rPr>
        <w:t xml:space="preserve"> via an RT Ticket (myUMBC, help, </w:t>
      </w:r>
      <w:proofErr w:type="gramStart"/>
      <w:r w:rsidR="00A42EBD">
        <w:rPr>
          <w:color w:val="000000"/>
        </w:rPr>
        <w:t>request</w:t>
      </w:r>
      <w:proofErr w:type="gramEnd"/>
      <w:r w:rsidR="00A42EBD">
        <w:rPr>
          <w:color w:val="000000"/>
        </w:rPr>
        <w:t xml:space="preserve"> help)</w:t>
      </w:r>
      <w:r w:rsidRPr="00D85116">
        <w:rPr>
          <w:color w:val="000000"/>
        </w:rPr>
        <w:t xml:space="preserve">. Payroll cost transfers performed after 90 days of the original transaction must also contain an </w:t>
      </w:r>
      <w:r w:rsidRPr="00D85116">
        <w:rPr>
          <w:color w:val="000000"/>
        </w:rPr>
        <w:lastRenderedPageBreak/>
        <w:t>explanation as to why the</w:t>
      </w:r>
      <w:r w:rsidR="00CE2247">
        <w:rPr>
          <w:color w:val="000000"/>
        </w:rPr>
        <w:t xml:space="preserve"> payroll transfer was not processed within the required 90 day timeframe.</w:t>
      </w:r>
    </w:p>
    <w:p w:rsidR="00E11BB8" w:rsidRPr="00D85116" w:rsidRDefault="00E11BB8" w:rsidP="005D6373">
      <w:pPr>
        <w:autoSpaceDE w:val="0"/>
        <w:autoSpaceDN w:val="0"/>
        <w:adjustRightInd w:val="0"/>
        <w:ind w:left="720"/>
        <w:rPr>
          <w:color w:val="000000"/>
        </w:rPr>
      </w:pPr>
    </w:p>
    <w:p w:rsidR="005D6373" w:rsidRPr="00D85116" w:rsidRDefault="005D6373" w:rsidP="005D6373">
      <w:pPr>
        <w:autoSpaceDE w:val="0"/>
        <w:autoSpaceDN w:val="0"/>
        <w:adjustRightInd w:val="0"/>
        <w:ind w:left="1080"/>
        <w:rPr>
          <w:color w:val="000000"/>
        </w:rPr>
      </w:pPr>
      <w:r w:rsidRPr="00D85116">
        <w:rPr>
          <w:color w:val="000000"/>
        </w:rPr>
        <w:t xml:space="preserve">1. Payroll cost transfers using a retro: </w:t>
      </w:r>
    </w:p>
    <w:p w:rsidR="005D6373" w:rsidRPr="00D85116" w:rsidRDefault="005D6373" w:rsidP="005D6373">
      <w:pPr>
        <w:autoSpaceDE w:val="0"/>
        <w:autoSpaceDN w:val="0"/>
        <w:adjustRightInd w:val="0"/>
        <w:ind w:left="1800" w:hanging="360"/>
        <w:rPr>
          <w:color w:val="000000"/>
        </w:rPr>
      </w:pPr>
      <w:r w:rsidRPr="00D85116">
        <w:rPr>
          <w:color w:val="000000"/>
        </w:rPr>
        <w:t xml:space="preserve">a. Complete a </w:t>
      </w:r>
      <w:r w:rsidR="006378DD">
        <w:rPr>
          <w:color w:val="000000"/>
        </w:rPr>
        <w:t xml:space="preserve">paper or on-line </w:t>
      </w:r>
      <w:r w:rsidRPr="00D85116">
        <w:rPr>
          <w:color w:val="000000"/>
        </w:rPr>
        <w:t xml:space="preserve">retro request form. </w:t>
      </w:r>
    </w:p>
    <w:p w:rsidR="005D6373" w:rsidRPr="00D85116" w:rsidRDefault="005D6373" w:rsidP="005D6373">
      <w:pPr>
        <w:autoSpaceDE w:val="0"/>
        <w:autoSpaceDN w:val="0"/>
        <w:adjustRightInd w:val="0"/>
        <w:ind w:left="1800" w:hanging="360"/>
        <w:rPr>
          <w:color w:val="000000"/>
        </w:rPr>
      </w:pPr>
      <w:r w:rsidRPr="00D85116">
        <w:rPr>
          <w:color w:val="000000"/>
        </w:rPr>
        <w:t xml:space="preserve">b. Attach an EE History Report by accounting period through the end of the current fiscal year (20XX-12). </w:t>
      </w:r>
    </w:p>
    <w:p w:rsidR="005D6373" w:rsidRPr="00D85116" w:rsidRDefault="005D6373" w:rsidP="005D6373">
      <w:pPr>
        <w:autoSpaceDE w:val="0"/>
        <w:autoSpaceDN w:val="0"/>
        <w:adjustRightInd w:val="0"/>
        <w:ind w:left="1800" w:hanging="360"/>
        <w:rPr>
          <w:color w:val="000000"/>
        </w:rPr>
      </w:pPr>
      <w:r w:rsidRPr="00D85116">
        <w:rPr>
          <w:color w:val="000000"/>
        </w:rPr>
        <w:t xml:space="preserve">c. Review the EE History for pay period(s) entered on the retro request to ensure that there was sufficient salary paid to that individual on the chartstring being credited for the period being transferred. </w:t>
      </w:r>
    </w:p>
    <w:p w:rsidR="005D6373" w:rsidRPr="00D85116" w:rsidRDefault="005D6373" w:rsidP="005D6373">
      <w:pPr>
        <w:autoSpaceDE w:val="0"/>
        <w:autoSpaceDN w:val="0"/>
        <w:adjustRightInd w:val="0"/>
        <w:ind w:left="1800" w:hanging="360"/>
        <w:rPr>
          <w:color w:val="000000"/>
        </w:rPr>
      </w:pPr>
      <w:r w:rsidRPr="00D85116">
        <w:rPr>
          <w:color w:val="000000"/>
        </w:rPr>
        <w:t xml:space="preserve">d. If the form affects sponsored chartstrings, the Principal Investigator (PI) or Department Administrator responsible for the sponsored chartstring affected must sign the retro request form. If more than one sponsored chartstring is affected, All PI’s or Department Administrator’s of the chartstring being charged must sign the retro request form. </w:t>
      </w:r>
    </w:p>
    <w:p w:rsidR="005D6373" w:rsidRDefault="005D6373" w:rsidP="00A12E23">
      <w:pPr>
        <w:ind w:left="1800" w:hanging="360"/>
      </w:pPr>
      <w:r w:rsidRPr="00D85116">
        <w:t xml:space="preserve">e. Send the </w:t>
      </w:r>
      <w:r w:rsidR="00002DFC">
        <w:t xml:space="preserve">original </w:t>
      </w:r>
      <w:r w:rsidRPr="00D85116">
        <w:t xml:space="preserve">completed </w:t>
      </w:r>
      <w:r w:rsidR="006378DD">
        <w:t xml:space="preserve">paper retro request </w:t>
      </w:r>
      <w:r w:rsidRPr="00D85116">
        <w:t>form and EE Histo</w:t>
      </w:r>
      <w:r w:rsidR="00A42EBD">
        <w:t xml:space="preserve">ry Report to </w:t>
      </w:r>
      <w:r w:rsidR="00002DFC">
        <w:t>Financial Services</w:t>
      </w:r>
      <w:r w:rsidR="006378DD">
        <w:t xml:space="preserve"> for processing</w:t>
      </w:r>
      <w:r w:rsidR="00CE2247">
        <w:t>.</w:t>
      </w:r>
      <w:r w:rsidR="00002DFC">
        <w:t xml:space="preserve"> For audit purposes, copies of the request form and EE History Report along with appropriate supporting documentation should be maintained in Department files.</w:t>
      </w:r>
    </w:p>
    <w:p w:rsidR="0010567A" w:rsidRDefault="006378DD" w:rsidP="00A12E23">
      <w:pPr>
        <w:ind w:left="1800" w:hanging="360"/>
      </w:pPr>
      <w:r>
        <w:t xml:space="preserve">f. </w:t>
      </w:r>
      <w:r w:rsidR="00002DFC">
        <w:t xml:space="preserve">On-line </w:t>
      </w:r>
      <w:proofErr w:type="spellStart"/>
      <w:r w:rsidR="00002DFC">
        <w:t>retros</w:t>
      </w:r>
      <w:proofErr w:type="spellEnd"/>
      <w:r w:rsidR="00002DFC">
        <w:t xml:space="preserve"> are processed without submitting documents to Financial Services. However, for audit purposes, copies of the </w:t>
      </w:r>
      <w:r w:rsidR="008E6CE5">
        <w:t xml:space="preserve">original </w:t>
      </w:r>
      <w:r w:rsidR="00002DFC">
        <w:t>request form and EE History Report along with appropriate supporting documentation should be maintained in Department files.</w:t>
      </w:r>
    </w:p>
    <w:p w:rsidR="00331853" w:rsidRDefault="00331853" w:rsidP="00A12E23">
      <w:pPr>
        <w:ind w:left="1800" w:hanging="360"/>
      </w:pPr>
      <w:r>
        <w:t>g. Contract &amp; Grant Accounting will review and approve payroll cost transfers</w:t>
      </w:r>
      <w:r w:rsidR="006757F4">
        <w:t xml:space="preserve"> affecting sponsored chartstrings on an</w:t>
      </w:r>
      <w:r>
        <w:t xml:space="preserve"> after-the-fact</w:t>
      </w:r>
      <w:r w:rsidR="006757F4">
        <w:t xml:space="preserve"> basis</w:t>
      </w:r>
      <w:r>
        <w:t xml:space="preserve"> to determine whether the transfers are in compliance with the UMBC Policy on Cost Transfers and these UMBC Cost Transfer Procedures.</w:t>
      </w:r>
    </w:p>
    <w:p w:rsidR="00331853" w:rsidRDefault="00331853" w:rsidP="00A12E23">
      <w:pPr>
        <w:ind w:left="1800" w:hanging="360"/>
      </w:pPr>
    </w:p>
    <w:p w:rsidR="00331853" w:rsidRPr="00D85116" w:rsidRDefault="00331853" w:rsidP="00A12E23">
      <w:pPr>
        <w:ind w:left="1800" w:hanging="360"/>
      </w:pPr>
    </w:p>
    <w:p w:rsidR="005D6373" w:rsidRPr="00D85116" w:rsidRDefault="005D6373" w:rsidP="005D6373">
      <w:pPr>
        <w:autoSpaceDE w:val="0"/>
        <w:autoSpaceDN w:val="0"/>
        <w:adjustRightInd w:val="0"/>
        <w:ind w:left="720"/>
        <w:rPr>
          <w:color w:val="000000"/>
        </w:rPr>
      </w:pPr>
      <w:r w:rsidRPr="00D85116">
        <w:rPr>
          <w:color w:val="000000"/>
        </w:rPr>
        <w:t>E. Financial Services can now process multiple retros per employee in a single pay period (with one exception being if transfers are within the same account code for the same employee).  Please see the blackout schedule for cutoff dates for retros.</w:t>
      </w:r>
    </w:p>
    <w:p w:rsidR="005D6373" w:rsidRPr="00D85116" w:rsidRDefault="005D6373" w:rsidP="005D6373">
      <w:pPr>
        <w:autoSpaceDE w:val="0"/>
        <w:autoSpaceDN w:val="0"/>
        <w:adjustRightInd w:val="0"/>
        <w:ind w:left="720" w:hanging="360"/>
        <w:rPr>
          <w:color w:val="000000"/>
        </w:rPr>
      </w:pPr>
    </w:p>
    <w:p w:rsidR="005D6373" w:rsidRPr="00D85116" w:rsidRDefault="005D6373" w:rsidP="005D6373">
      <w:pPr>
        <w:autoSpaceDE w:val="0"/>
        <w:autoSpaceDN w:val="0"/>
        <w:adjustRightInd w:val="0"/>
        <w:ind w:left="720"/>
        <w:rPr>
          <w:color w:val="000000"/>
        </w:rPr>
      </w:pPr>
      <w:r w:rsidRPr="00D85116">
        <w:rPr>
          <w:color w:val="000000"/>
        </w:rPr>
        <w:t xml:space="preserve">F. Payroll cost transfers charging a sponsored chartstring that cause payroll distribution to differ from a previously certified and closed effort </w:t>
      </w:r>
      <w:r w:rsidR="009F1D05" w:rsidRPr="00D85116">
        <w:rPr>
          <w:color w:val="000000"/>
        </w:rPr>
        <w:t>report</w:t>
      </w:r>
      <w:r w:rsidRPr="00D85116">
        <w:rPr>
          <w:color w:val="000000"/>
        </w:rPr>
        <w:t xml:space="preserve"> are highly discouraged. They must be appropriately documented as described above but must also have the effort report recertified. This documentation must describe in detail the </w:t>
      </w:r>
      <w:r w:rsidR="00CE2247">
        <w:rPr>
          <w:color w:val="000000"/>
        </w:rPr>
        <w:t>need for revisions of</w:t>
      </w:r>
      <w:r w:rsidR="00871DE9">
        <w:rPr>
          <w:color w:val="000000"/>
        </w:rPr>
        <w:t xml:space="preserve"> </w:t>
      </w:r>
      <w:r w:rsidRPr="00D85116">
        <w:rPr>
          <w:color w:val="000000"/>
        </w:rPr>
        <w:t>the original certification and be signed by the Principal Investigator on the award being charged. The effort report will be automatically</w:t>
      </w:r>
      <w:r w:rsidR="009F1D05" w:rsidRPr="00D85116">
        <w:rPr>
          <w:color w:val="000000"/>
        </w:rPr>
        <w:t xml:space="preserve"> </w:t>
      </w:r>
      <w:r w:rsidRPr="00D85116">
        <w:rPr>
          <w:color w:val="000000"/>
        </w:rPr>
        <w:t xml:space="preserve">reopened and must be recertified by the same individual who certified the original effort report. </w:t>
      </w:r>
    </w:p>
    <w:p w:rsidR="005D6373" w:rsidRPr="00D85116" w:rsidRDefault="005D6373" w:rsidP="005D6373">
      <w:pPr>
        <w:autoSpaceDE w:val="0"/>
        <w:autoSpaceDN w:val="0"/>
        <w:adjustRightInd w:val="0"/>
        <w:ind w:left="720" w:hanging="360"/>
        <w:rPr>
          <w:color w:val="000000"/>
        </w:rPr>
      </w:pPr>
    </w:p>
    <w:p w:rsidR="005D6373" w:rsidRPr="00D85116" w:rsidRDefault="005D6373" w:rsidP="005D6373">
      <w:pPr>
        <w:autoSpaceDE w:val="0"/>
        <w:autoSpaceDN w:val="0"/>
        <w:adjustRightInd w:val="0"/>
        <w:ind w:left="720"/>
        <w:rPr>
          <w:color w:val="000000"/>
        </w:rPr>
      </w:pPr>
      <w:r w:rsidRPr="00D85116">
        <w:rPr>
          <w:color w:val="000000"/>
        </w:rPr>
        <w:t xml:space="preserve">G. No cost transfers moving costs onto a sponsored chartstring will be allowed if performed more than six months past the date of the original transaction. </w:t>
      </w:r>
      <w:r w:rsidR="00CE2247">
        <w:rPr>
          <w:color w:val="000000"/>
        </w:rPr>
        <w:t xml:space="preserve">Any exceptions to the above must be routed to Contract &amp; Grant </w:t>
      </w:r>
      <w:proofErr w:type="gramStart"/>
      <w:r w:rsidR="00CE2247">
        <w:rPr>
          <w:color w:val="000000"/>
        </w:rPr>
        <w:t>Accounting</w:t>
      </w:r>
      <w:proofErr w:type="gramEnd"/>
      <w:r w:rsidR="00CE2247">
        <w:rPr>
          <w:color w:val="000000"/>
        </w:rPr>
        <w:t xml:space="preserve"> for approval.</w:t>
      </w:r>
    </w:p>
    <w:p w:rsidR="005D6373" w:rsidRPr="00D85116" w:rsidRDefault="005D6373" w:rsidP="005D6373">
      <w:pPr>
        <w:autoSpaceDE w:val="0"/>
        <w:autoSpaceDN w:val="0"/>
        <w:adjustRightInd w:val="0"/>
        <w:ind w:left="720" w:hanging="360"/>
        <w:rPr>
          <w:color w:val="000000"/>
        </w:rPr>
      </w:pPr>
    </w:p>
    <w:p w:rsidR="005D6373" w:rsidRPr="00D85116" w:rsidRDefault="005D6373" w:rsidP="00607263">
      <w:pPr>
        <w:rPr>
          <w:b/>
        </w:rPr>
      </w:pPr>
    </w:p>
    <w:sectPr w:rsidR="005D6373" w:rsidRPr="00D85116" w:rsidSect="002540B9">
      <w:headerReference w:type="even" r:id="rId10"/>
      <w:headerReference w:type="default" r:id="rId11"/>
      <w:footerReference w:type="even" r:id="rId12"/>
      <w:footerReference w:type="default" r:id="rId13"/>
      <w:head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CD8" w:rsidRDefault="00576CD8">
      <w:r>
        <w:separator/>
      </w:r>
    </w:p>
  </w:endnote>
  <w:endnote w:type="continuationSeparator" w:id="0">
    <w:p w:rsidR="00576CD8" w:rsidRDefault="0057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EA" w:rsidRDefault="007E44EA" w:rsidP="00440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44EA" w:rsidRDefault="007E44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EA" w:rsidRPr="00086244" w:rsidRDefault="007E44EA" w:rsidP="0044056A">
    <w:pPr>
      <w:pStyle w:val="Footer"/>
      <w:framePr w:wrap="around" w:vAnchor="text" w:hAnchor="margin" w:xAlign="center" w:y="1"/>
      <w:rPr>
        <w:rStyle w:val="PageNumber"/>
        <w:b/>
      </w:rPr>
    </w:pPr>
    <w:r>
      <w:rPr>
        <w:rStyle w:val="PageNumber"/>
      </w:rPr>
      <w:tab/>
    </w:r>
    <w:r>
      <w:rPr>
        <w:rStyle w:val="PageNumber"/>
      </w:rPr>
      <w:tab/>
    </w:r>
    <w:r w:rsidRPr="00086244">
      <w:rPr>
        <w:rStyle w:val="PageNumber"/>
        <w:b/>
      </w:rPr>
      <w:t xml:space="preserve">Page </w:t>
    </w:r>
    <w:r w:rsidRPr="00086244">
      <w:rPr>
        <w:rStyle w:val="PageNumber"/>
        <w:b/>
      </w:rPr>
      <w:fldChar w:fldCharType="begin"/>
    </w:r>
    <w:r w:rsidRPr="00086244">
      <w:rPr>
        <w:rStyle w:val="PageNumber"/>
        <w:b/>
      </w:rPr>
      <w:instrText xml:space="preserve"> PAGE </w:instrText>
    </w:r>
    <w:r w:rsidRPr="00086244">
      <w:rPr>
        <w:rStyle w:val="PageNumber"/>
        <w:b/>
      </w:rPr>
      <w:fldChar w:fldCharType="separate"/>
    </w:r>
    <w:r w:rsidR="00ED6890">
      <w:rPr>
        <w:rStyle w:val="PageNumber"/>
        <w:b/>
        <w:noProof/>
      </w:rPr>
      <w:t>2</w:t>
    </w:r>
    <w:r w:rsidRPr="00086244">
      <w:rPr>
        <w:rStyle w:val="PageNumber"/>
        <w:b/>
      </w:rPr>
      <w:fldChar w:fldCharType="end"/>
    </w:r>
    <w:r w:rsidRPr="00086244">
      <w:rPr>
        <w:rStyle w:val="PageNumber"/>
        <w:b/>
      </w:rPr>
      <w:t xml:space="preserve"> of </w:t>
    </w:r>
    <w:r w:rsidRPr="00086244">
      <w:rPr>
        <w:rStyle w:val="PageNumber"/>
        <w:b/>
      </w:rPr>
      <w:fldChar w:fldCharType="begin"/>
    </w:r>
    <w:r w:rsidRPr="00086244">
      <w:rPr>
        <w:rStyle w:val="PageNumber"/>
        <w:b/>
      </w:rPr>
      <w:instrText xml:space="preserve"> NUMPAGES </w:instrText>
    </w:r>
    <w:r w:rsidRPr="00086244">
      <w:rPr>
        <w:rStyle w:val="PageNumber"/>
        <w:b/>
      </w:rPr>
      <w:fldChar w:fldCharType="separate"/>
    </w:r>
    <w:r w:rsidR="00ED6890">
      <w:rPr>
        <w:rStyle w:val="PageNumber"/>
        <w:b/>
        <w:noProof/>
      </w:rPr>
      <w:t>2</w:t>
    </w:r>
    <w:r w:rsidRPr="00086244">
      <w:rPr>
        <w:rStyle w:val="PageNumber"/>
        <w:b/>
      </w:rPr>
      <w:fldChar w:fldCharType="end"/>
    </w:r>
  </w:p>
  <w:p w:rsidR="007E44EA" w:rsidRPr="00086244" w:rsidRDefault="007E44EA" w:rsidP="005D6373">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CD8" w:rsidRDefault="00576CD8">
      <w:r>
        <w:separator/>
      </w:r>
    </w:p>
  </w:footnote>
  <w:footnote w:type="continuationSeparator" w:id="0">
    <w:p w:rsidR="00576CD8" w:rsidRDefault="0057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EA" w:rsidRDefault="007E44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EA" w:rsidRDefault="007E44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EA" w:rsidRDefault="007E4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0D8"/>
    <w:multiLevelType w:val="hybridMultilevel"/>
    <w:tmpl w:val="051C78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164A35"/>
    <w:multiLevelType w:val="multilevel"/>
    <w:tmpl w:val="502E62FE"/>
    <w:lvl w:ilvl="0">
      <w:start w:val="4"/>
      <w:numFmt w:val="upperRoman"/>
      <w:lvlText w:val="%1."/>
      <w:lvlJc w:val="left"/>
      <w:pPr>
        <w:tabs>
          <w:tab w:val="num" w:pos="720"/>
        </w:tabs>
        <w:ind w:left="72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8DD5C00"/>
    <w:multiLevelType w:val="hybridMultilevel"/>
    <w:tmpl w:val="502E62FE"/>
    <w:lvl w:ilvl="0" w:tplc="F6D60F50">
      <w:start w:val="4"/>
      <w:numFmt w:val="upperRoman"/>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232BFC"/>
    <w:multiLevelType w:val="hybridMultilevel"/>
    <w:tmpl w:val="EF46F2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B215EA"/>
    <w:multiLevelType w:val="multilevel"/>
    <w:tmpl w:val="93802000"/>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7BB43B1"/>
    <w:multiLevelType w:val="hybridMultilevel"/>
    <w:tmpl w:val="E03C1F86"/>
    <w:lvl w:ilvl="0" w:tplc="BDA86620">
      <w:start w:val="1"/>
      <w:numFmt w:val="upperRoman"/>
      <w:lvlText w:val="%1."/>
      <w:lvlJc w:val="left"/>
      <w:pPr>
        <w:tabs>
          <w:tab w:val="num" w:pos="720"/>
        </w:tabs>
        <w:ind w:left="720" w:hanging="720"/>
      </w:pPr>
      <w:rPr>
        <w:rFonts w:hint="default"/>
        <w:b/>
      </w:rPr>
    </w:lvl>
    <w:lvl w:ilvl="1" w:tplc="037C1520">
      <w:start w:val="1"/>
      <w:numFmt w:val="upp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05E28E9"/>
    <w:multiLevelType w:val="hybridMultilevel"/>
    <w:tmpl w:val="C436D29C"/>
    <w:lvl w:ilvl="0" w:tplc="30F237DE">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5E3D58"/>
    <w:multiLevelType w:val="hybridMultilevel"/>
    <w:tmpl w:val="274AB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96C06B2"/>
    <w:multiLevelType w:val="hybridMultilevel"/>
    <w:tmpl w:val="DEE44B34"/>
    <w:lvl w:ilvl="0" w:tplc="E58CB164">
      <w:start w:val="7"/>
      <w:numFmt w:val="upperRoman"/>
      <w:lvlText w:val="%1."/>
      <w:lvlJc w:val="left"/>
      <w:pPr>
        <w:tabs>
          <w:tab w:val="num" w:pos="720"/>
        </w:tabs>
        <w:ind w:left="720" w:hanging="720"/>
      </w:pPr>
      <w:rPr>
        <w:rFonts w:hint="default"/>
      </w:rPr>
    </w:lvl>
    <w:lvl w:ilvl="1" w:tplc="7200DC00">
      <w:start w:val="1"/>
      <w:numFmt w:val="upp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B901905"/>
    <w:multiLevelType w:val="hybridMultilevel"/>
    <w:tmpl w:val="35F0AC06"/>
    <w:lvl w:ilvl="0" w:tplc="FEC8F8B4">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BC29FF"/>
    <w:multiLevelType w:val="hybridMultilevel"/>
    <w:tmpl w:val="9634C1CC"/>
    <w:lvl w:ilvl="0" w:tplc="0409000F">
      <w:start w:val="1"/>
      <w:numFmt w:val="decimal"/>
      <w:lvlText w:val="%1."/>
      <w:lvlJc w:val="left"/>
      <w:pPr>
        <w:ind w:left="14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0F42FB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nsid w:val="68C92236"/>
    <w:multiLevelType w:val="hybridMultilevel"/>
    <w:tmpl w:val="56C072C2"/>
    <w:lvl w:ilvl="0" w:tplc="30F237DE">
      <w:start w:val="1"/>
      <w:numFmt w:val="bullet"/>
      <w:lvlText w:val="-"/>
      <w:lvlJc w:val="left"/>
      <w:pPr>
        <w:tabs>
          <w:tab w:val="num" w:pos="1440"/>
        </w:tabs>
        <w:ind w:left="1440" w:hanging="360"/>
      </w:pPr>
      <w:rPr>
        <w:rFonts w:ascii="Times New Roman" w:eastAsia="Times New Roman" w:hAnsi="Times New Roman" w:cs="Times New Roman"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0B7737A"/>
    <w:multiLevelType w:val="multilevel"/>
    <w:tmpl w:val="502E62FE"/>
    <w:lvl w:ilvl="0">
      <w:start w:val="4"/>
      <w:numFmt w:val="upperRoman"/>
      <w:lvlText w:val="%1."/>
      <w:lvlJc w:val="left"/>
      <w:pPr>
        <w:tabs>
          <w:tab w:val="num" w:pos="720"/>
        </w:tabs>
        <w:ind w:left="72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CD0302"/>
    <w:multiLevelType w:val="multilevel"/>
    <w:tmpl w:val="93802000"/>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7C227E82"/>
    <w:multiLevelType w:val="hybridMultilevel"/>
    <w:tmpl w:val="CB9EF12C"/>
    <w:lvl w:ilvl="0" w:tplc="30F237DE">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5"/>
  </w:num>
  <w:num w:numId="4">
    <w:abstractNumId w:val="3"/>
  </w:num>
  <w:num w:numId="5">
    <w:abstractNumId w:val="5"/>
  </w:num>
  <w:num w:numId="6">
    <w:abstractNumId w:val="8"/>
  </w:num>
  <w:num w:numId="7">
    <w:abstractNumId w:val="2"/>
  </w:num>
  <w:num w:numId="8">
    <w:abstractNumId w:val="4"/>
  </w:num>
  <w:num w:numId="9">
    <w:abstractNumId w:val="1"/>
  </w:num>
  <w:num w:numId="10">
    <w:abstractNumId w:val="14"/>
  </w:num>
  <w:num w:numId="11">
    <w:abstractNumId w:val="13"/>
  </w:num>
  <w:num w:numId="12">
    <w:abstractNumId w:val="0"/>
  </w:num>
  <w:num w:numId="13">
    <w:abstractNumId w:val="11"/>
  </w:num>
  <w:num w:numId="14">
    <w:abstractNumId w:val="7"/>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65"/>
    <w:rsid w:val="00002DFC"/>
    <w:rsid w:val="00007733"/>
    <w:rsid w:val="00086244"/>
    <w:rsid w:val="000964EA"/>
    <w:rsid w:val="000C3856"/>
    <w:rsid w:val="000E0B44"/>
    <w:rsid w:val="000E6818"/>
    <w:rsid w:val="000F0B71"/>
    <w:rsid w:val="000F580D"/>
    <w:rsid w:val="000F5C96"/>
    <w:rsid w:val="0010567A"/>
    <w:rsid w:val="00111D06"/>
    <w:rsid w:val="001227DB"/>
    <w:rsid w:val="00142E3A"/>
    <w:rsid w:val="00143436"/>
    <w:rsid w:val="001546A5"/>
    <w:rsid w:val="001820B4"/>
    <w:rsid w:val="001B36C3"/>
    <w:rsid w:val="001D0DFD"/>
    <w:rsid w:val="00212E3F"/>
    <w:rsid w:val="0022042F"/>
    <w:rsid w:val="002226A9"/>
    <w:rsid w:val="00252AD7"/>
    <w:rsid w:val="002540B9"/>
    <w:rsid w:val="0026187F"/>
    <w:rsid w:val="00275AE6"/>
    <w:rsid w:val="002A45AD"/>
    <w:rsid w:val="002C2432"/>
    <w:rsid w:val="002F1FA2"/>
    <w:rsid w:val="002F49C4"/>
    <w:rsid w:val="00322B84"/>
    <w:rsid w:val="00324AE5"/>
    <w:rsid w:val="00331853"/>
    <w:rsid w:val="00351F14"/>
    <w:rsid w:val="00373B75"/>
    <w:rsid w:val="003872C3"/>
    <w:rsid w:val="00392683"/>
    <w:rsid w:val="003B1A37"/>
    <w:rsid w:val="003C0ED6"/>
    <w:rsid w:val="003C5FB7"/>
    <w:rsid w:val="003C72E9"/>
    <w:rsid w:val="003D1784"/>
    <w:rsid w:val="003D7D1D"/>
    <w:rsid w:val="003E2FD5"/>
    <w:rsid w:val="00400AD5"/>
    <w:rsid w:val="00401396"/>
    <w:rsid w:val="0042080E"/>
    <w:rsid w:val="0044056A"/>
    <w:rsid w:val="00442E0E"/>
    <w:rsid w:val="00470D57"/>
    <w:rsid w:val="004837E1"/>
    <w:rsid w:val="00491FFE"/>
    <w:rsid w:val="004929AF"/>
    <w:rsid w:val="0049520D"/>
    <w:rsid w:val="004A335F"/>
    <w:rsid w:val="004B5AA0"/>
    <w:rsid w:val="004C6737"/>
    <w:rsid w:val="004E45F3"/>
    <w:rsid w:val="004F1C51"/>
    <w:rsid w:val="00503D3E"/>
    <w:rsid w:val="005060E6"/>
    <w:rsid w:val="00512E79"/>
    <w:rsid w:val="00517441"/>
    <w:rsid w:val="005426B8"/>
    <w:rsid w:val="00556745"/>
    <w:rsid w:val="00576362"/>
    <w:rsid w:val="0057649E"/>
    <w:rsid w:val="00576CD8"/>
    <w:rsid w:val="005955A6"/>
    <w:rsid w:val="00596BF6"/>
    <w:rsid w:val="005A50C1"/>
    <w:rsid w:val="005A5A12"/>
    <w:rsid w:val="005C5A56"/>
    <w:rsid w:val="005D6373"/>
    <w:rsid w:val="0060671E"/>
    <w:rsid w:val="00606E1E"/>
    <w:rsid w:val="00607263"/>
    <w:rsid w:val="00611C4C"/>
    <w:rsid w:val="006378DD"/>
    <w:rsid w:val="00663F81"/>
    <w:rsid w:val="0067531B"/>
    <w:rsid w:val="006757F4"/>
    <w:rsid w:val="006D53DA"/>
    <w:rsid w:val="006E3732"/>
    <w:rsid w:val="007415EA"/>
    <w:rsid w:val="007439B8"/>
    <w:rsid w:val="007521EF"/>
    <w:rsid w:val="00785627"/>
    <w:rsid w:val="0079076D"/>
    <w:rsid w:val="007A00EE"/>
    <w:rsid w:val="007B4A1F"/>
    <w:rsid w:val="007E2B71"/>
    <w:rsid w:val="007E44EA"/>
    <w:rsid w:val="007F7D1F"/>
    <w:rsid w:val="00812BBA"/>
    <w:rsid w:val="00820262"/>
    <w:rsid w:val="0082118A"/>
    <w:rsid w:val="00824AA4"/>
    <w:rsid w:val="008273F0"/>
    <w:rsid w:val="00837E68"/>
    <w:rsid w:val="00846C61"/>
    <w:rsid w:val="008623D0"/>
    <w:rsid w:val="008704E0"/>
    <w:rsid w:val="00871DE9"/>
    <w:rsid w:val="0087605B"/>
    <w:rsid w:val="00885ACD"/>
    <w:rsid w:val="0089673B"/>
    <w:rsid w:val="008A39EF"/>
    <w:rsid w:val="008E6CE5"/>
    <w:rsid w:val="008E76CA"/>
    <w:rsid w:val="008F4DDB"/>
    <w:rsid w:val="00901250"/>
    <w:rsid w:val="00903C6D"/>
    <w:rsid w:val="00903CC0"/>
    <w:rsid w:val="00906E4B"/>
    <w:rsid w:val="00924040"/>
    <w:rsid w:val="009410CA"/>
    <w:rsid w:val="00941755"/>
    <w:rsid w:val="00966560"/>
    <w:rsid w:val="009718D2"/>
    <w:rsid w:val="00975B6E"/>
    <w:rsid w:val="009D4BE7"/>
    <w:rsid w:val="009E32E0"/>
    <w:rsid w:val="009E5C21"/>
    <w:rsid w:val="009E6B50"/>
    <w:rsid w:val="009F0A5D"/>
    <w:rsid w:val="009F1D05"/>
    <w:rsid w:val="009F7E09"/>
    <w:rsid w:val="00A0508E"/>
    <w:rsid w:val="00A12E23"/>
    <w:rsid w:val="00A31701"/>
    <w:rsid w:val="00A33653"/>
    <w:rsid w:val="00A42EBD"/>
    <w:rsid w:val="00A51573"/>
    <w:rsid w:val="00A87279"/>
    <w:rsid w:val="00AA2F54"/>
    <w:rsid w:val="00AC412E"/>
    <w:rsid w:val="00AD7D1E"/>
    <w:rsid w:val="00AF372F"/>
    <w:rsid w:val="00B1126D"/>
    <w:rsid w:val="00B16097"/>
    <w:rsid w:val="00B31B90"/>
    <w:rsid w:val="00B57CF7"/>
    <w:rsid w:val="00B64F23"/>
    <w:rsid w:val="00B6566D"/>
    <w:rsid w:val="00B72F71"/>
    <w:rsid w:val="00B74B88"/>
    <w:rsid w:val="00B77D02"/>
    <w:rsid w:val="00B814F3"/>
    <w:rsid w:val="00B86124"/>
    <w:rsid w:val="00B95390"/>
    <w:rsid w:val="00BA2A99"/>
    <w:rsid w:val="00BD31A3"/>
    <w:rsid w:val="00C27B66"/>
    <w:rsid w:val="00C65FE7"/>
    <w:rsid w:val="00C70A4E"/>
    <w:rsid w:val="00C727D8"/>
    <w:rsid w:val="00CA40EB"/>
    <w:rsid w:val="00CD1AF9"/>
    <w:rsid w:val="00CD772E"/>
    <w:rsid w:val="00CE0065"/>
    <w:rsid w:val="00CE2247"/>
    <w:rsid w:val="00D010D7"/>
    <w:rsid w:val="00D163E5"/>
    <w:rsid w:val="00D35D48"/>
    <w:rsid w:val="00D54ED3"/>
    <w:rsid w:val="00D56C62"/>
    <w:rsid w:val="00D63BDA"/>
    <w:rsid w:val="00D73C79"/>
    <w:rsid w:val="00D804E8"/>
    <w:rsid w:val="00D807BA"/>
    <w:rsid w:val="00D85116"/>
    <w:rsid w:val="00D85CFB"/>
    <w:rsid w:val="00D87874"/>
    <w:rsid w:val="00D927E6"/>
    <w:rsid w:val="00DA19E3"/>
    <w:rsid w:val="00DC5324"/>
    <w:rsid w:val="00E11BB8"/>
    <w:rsid w:val="00E15035"/>
    <w:rsid w:val="00E15E55"/>
    <w:rsid w:val="00E26E68"/>
    <w:rsid w:val="00E36686"/>
    <w:rsid w:val="00E4336B"/>
    <w:rsid w:val="00E50C5A"/>
    <w:rsid w:val="00E52429"/>
    <w:rsid w:val="00E7231D"/>
    <w:rsid w:val="00E73CE6"/>
    <w:rsid w:val="00EB0F4C"/>
    <w:rsid w:val="00EB5FC9"/>
    <w:rsid w:val="00ED6890"/>
    <w:rsid w:val="00EE0A37"/>
    <w:rsid w:val="00F03FEC"/>
    <w:rsid w:val="00F34667"/>
    <w:rsid w:val="00F40537"/>
    <w:rsid w:val="00F428DA"/>
    <w:rsid w:val="00F520A1"/>
    <w:rsid w:val="00F65DC3"/>
    <w:rsid w:val="00F86E8D"/>
    <w:rsid w:val="00FA740C"/>
    <w:rsid w:val="00FB548B"/>
    <w:rsid w:val="00FC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E6818"/>
    <w:pPr>
      <w:keepNext/>
      <w:numPr>
        <w:numId w:val="1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0E6818"/>
    <w:pPr>
      <w:keepNext/>
      <w:numPr>
        <w:ilvl w:val="1"/>
        <w:numId w:val="13"/>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E6818"/>
    <w:pPr>
      <w:keepNext/>
      <w:numPr>
        <w:ilvl w:val="2"/>
        <w:numId w:val="13"/>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E6818"/>
    <w:pPr>
      <w:keepNext/>
      <w:numPr>
        <w:ilvl w:val="3"/>
        <w:numId w:val="13"/>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E6818"/>
    <w:pPr>
      <w:numPr>
        <w:ilvl w:val="4"/>
        <w:numId w:val="1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E6818"/>
    <w:pPr>
      <w:numPr>
        <w:ilvl w:val="5"/>
        <w:numId w:val="13"/>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E6818"/>
    <w:pPr>
      <w:numPr>
        <w:ilvl w:val="6"/>
        <w:numId w:val="13"/>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E6818"/>
    <w:pPr>
      <w:numPr>
        <w:ilvl w:val="7"/>
        <w:numId w:val="1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E6818"/>
    <w:pPr>
      <w:numPr>
        <w:ilvl w:val="8"/>
        <w:numId w:val="1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0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929AF"/>
    <w:pPr>
      <w:tabs>
        <w:tab w:val="center" w:pos="4320"/>
        <w:tab w:val="right" w:pos="8640"/>
      </w:tabs>
    </w:pPr>
  </w:style>
  <w:style w:type="character" w:styleId="PageNumber">
    <w:name w:val="page number"/>
    <w:basedOn w:val="DefaultParagraphFont"/>
    <w:rsid w:val="004929AF"/>
  </w:style>
  <w:style w:type="paragraph" w:styleId="Header">
    <w:name w:val="header"/>
    <w:basedOn w:val="Normal"/>
    <w:rsid w:val="00E7231D"/>
    <w:pPr>
      <w:tabs>
        <w:tab w:val="center" w:pos="4320"/>
        <w:tab w:val="right" w:pos="8640"/>
      </w:tabs>
    </w:pPr>
  </w:style>
  <w:style w:type="paragraph" w:styleId="BalloonText">
    <w:name w:val="Balloon Text"/>
    <w:basedOn w:val="Normal"/>
    <w:semiHidden/>
    <w:rsid w:val="007415EA"/>
    <w:rPr>
      <w:rFonts w:ascii="Tahoma" w:hAnsi="Tahoma" w:cs="Tahoma"/>
      <w:sz w:val="16"/>
      <w:szCs w:val="16"/>
    </w:rPr>
  </w:style>
  <w:style w:type="character" w:styleId="CommentReference">
    <w:name w:val="annotation reference"/>
    <w:basedOn w:val="DefaultParagraphFont"/>
    <w:semiHidden/>
    <w:rsid w:val="00D73C79"/>
    <w:rPr>
      <w:sz w:val="16"/>
      <w:szCs w:val="16"/>
    </w:rPr>
  </w:style>
  <w:style w:type="paragraph" w:styleId="CommentText">
    <w:name w:val="annotation text"/>
    <w:basedOn w:val="Normal"/>
    <w:semiHidden/>
    <w:rsid w:val="00D73C79"/>
    <w:rPr>
      <w:sz w:val="20"/>
      <w:szCs w:val="20"/>
    </w:rPr>
  </w:style>
  <w:style w:type="paragraph" w:styleId="CommentSubject">
    <w:name w:val="annotation subject"/>
    <w:basedOn w:val="CommentText"/>
    <w:next w:val="CommentText"/>
    <w:semiHidden/>
    <w:rsid w:val="00D73C79"/>
    <w:rPr>
      <w:b/>
      <w:bCs/>
    </w:rPr>
  </w:style>
  <w:style w:type="character" w:styleId="FollowedHyperlink">
    <w:name w:val="FollowedHyperlink"/>
    <w:basedOn w:val="DefaultParagraphFont"/>
    <w:rsid w:val="009F0A5D"/>
    <w:rPr>
      <w:color w:val="800080"/>
      <w:u w:val="single"/>
    </w:rPr>
  </w:style>
  <w:style w:type="paragraph" w:customStyle="1" w:styleId="Default">
    <w:name w:val="Default"/>
    <w:rsid w:val="00C727D8"/>
    <w:pPr>
      <w:autoSpaceDE w:val="0"/>
      <w:autoSpaceDN w:val="0"/>
      <w:adjustRightInd w:val="0"/>
    </w:pPr>
    <w:rPr>
      <w:rFonts w:ascii="Arial" w:hAnsi="Arial" w:cs="Arial"/>
      <w:color w:val="000000"/>
      <w:sz w:val="24"/>
      <w:szCs w:val="24"/>
    </w:rPr>
  </w:style>
  <w:style w:type="character" w:styleId="Hyperlink">
    <w:name w:val="Hyperlink"/>
    <w:basedOn w:val="DefaultParagraphFont"/>
    <w:rsid w:val="00007733"/>
    <w:rPr>
      <w:color w:val="0000FF"/>
      <w:u w:val="single"/>
    </w:rPr>
  </w:style>
  <w:style w:type="character" w:customStyle="1" w:styleId="Heading1Char">
    <w:name w:val="Heading 1 Char"/>
    <w:basedOn w:val="DefaultParagraphFont"/>
    <w:link w:val="Heading1"/>
    <w:rsid w:val="000E681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E6818"/>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E6818"/>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0E6818"/>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0E681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0E6818"/>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E681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0E681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E6818"/>
    <w:rPr>
      <w:rFonts w:ascii="Cambria" w:eastAsia="Times New Roman" w:hAnsi="Cambri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E6818"/>
    <w:pPr>
      <w:keepNext/>
      <w:numPr>
        <w:numId w:val="1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0E6818"/>
    <w:pPr>
      <w:keepNext/>
      <w:numPr>
        <w:ilvl w:val="1"/>
        <w:numId w:val="13"/>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E6818"/>
    <w:pPr>
      <w:keepNext/>
      <w:numPr>
        <w:ilvl w:val="2"/>
        <w:numId w:val="13"/>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E6818"/>
    <w:pPr>
      <w:keepNext/>
      <w:numPr>
        <w:ilvl w:val="3"/>
        <w:numId w:val="13"/>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E6818"/>
    <w:pPr>
      <w:numPr>
        <w:ilvl w:val="4"/>
        <w:numId w:val="1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E6818"/>
    <w:pPr>
      <w:numPr>
        <w:ilvl w:val="5"/>
        <w:numId w:val="13"/>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E6818"/>
    <w:pPr>
      <w:numPr>
        <w:ilvl w:val="6"/>
        <w:numId w:val="13"/>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E6818"/>
    <w:pPr>
      <w:numPr>
        <w:ilvl w:val="7"/>
        <w:numId w:val="1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E6818"/>
    <w:pPr>
      <w:numPr>
        <w:ilvl w:val="8"/>
        <w:numId w:val="1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0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929AF"/>
    <w:pPr>
      <w:tabs>
        <w:tab w:val="center" w:pos="4320"/>
        <w:tab w:val="right" w:pos="8640"/>
      </w:tabs>
    </w:pPr>
  </w:style>
  <w:style w:type="character" w:styleId="PageNumber">
    <w:name w:val="page number"/>
    <w:basedOn w:val="DefaultParagraphFont"/>
    <w:rsid w:val="004929AF"/>
  </w:style>
  <w:style w:type="paragraph" w:styleId="Header">
    <w:name w:val="header"/>
    <w:basedOn w:val="Normal"/>
    <w:rsid w:val="00E7231D"/>
    <w:pPr>
      <w:tabs>
        <w:tab w:val="center" w:pos="4320"/>
        <w:tab w:val="right" w:pos="8640"/>
      </w:tabs>
    </w:pPr>
  </w:style>
  <w:style w:type="paragraph" w:styleId="BalloonText">
    <w:name w:val="Balloon Text"/>
    <w:basedOn w:val="Normal"/>
    <w:semiHidden/>
    <w:rsid w:val="007415EA"/>
    <w:rPr>
      <w:rFonts w:ascii="Tahoma" w:hAnsi="Tahoma" w:cs="Tahoma"/>
      <w:sz w:val="16"/>
      <w:szCs w:val="16"/>
    </w:rPr>
  </w:style>
  <w:style w:type="character" w:styleId="CommentReference">
    <w:name w:val="annotation reference"/>
    <w:basedOn w:val="DefaultParagraphFont"/>
    <w:semiHidden/>
    <w:rsid w:val="00D73C79"/>
    <w:rPr>
      <w:sz w:val="16"/>
      <w:szCs w:val="16"/>
    </w:rPr>
  </w:style>
  <w:style w:type="paragraph" w:styleId="CommentText">
    <w:name w:val="annotation text"/>
    <w:basedOn w:val="Normal"/>
    <w:semiHidden/>
    <w:rsid w:val="00D73C79"/>
    <w:rPr>
      <w:sz w:val="20"/>
      <w:szCs w:val="20"/>
    </w:rPr>
  </w:style>
  <w:style w:type="paragraph" w:styleId="CommentSubject">
    <w:name w:val="annotation subject"/>
    <w:basedOn w:val="CommentText"/>
    <w:next w:val="CommentText"/>
    <w:semiHidden/>
    <w:rsid w:val="00D73C79"/>
    <w:rPr>
      <w:b/>
      <w:bCs/>
    </w:rPr>
  </w:style>
  <w:style w:type="character" w:styleId="FollowedHyperlink">
    <w:name w:val="FollowedHyperlink"/>
    <w:basedOn w:val="DefaultParagraphFont"/>
    <w:rsid w:val="009F0A5D"/>
    <w:rPr>
      <w:color w:val="800080"/>
      <w:u w:val="single"/>
    </w:rPr>
  </w:style>
  <w:style w:type="paragraph" w:customStyle="1" w:styleId="Default">
    <w:name w:val="Default"/>
    <w:rsid w:val="00C727D8"/>
    <w:pPr>
      <w:autoSpaceDE w:val="0"/>
      <w:autoSpaceDN w:val="0"/>
      <w:adjustRightInd w:val="0"/>
    </w:pPr>
    <w:rPr>
      <w:rFonts w:ascii="Arial" w:hAnsi="Arial" w:cs="Arial"/>
      <w:color w:val="000000"/>
      <w:sz w:val="24"/>
      <w:szCs w:val="24"/>
    </w:rPr>
  </w:style>
  <w:style w:type="character" w:styleId="Hyperlink">
    <w:name w:val="Hyperlink"/>
    <w:basedOn w:val="DefaultParagraphFont"/>
    <w:rsid w:val="00007733"/>
    <w:rPr>
      <w:color w:val="0000FF"/>
      <w:u w:val="single"/>
    </w:rPr>
  </w:style>
  <w:style w:type="character" w:customStyle="1" w:styleId="Heading1Char">
    <w:name w:val="Heading 1 Char"/>
    <w:basedOn w:val="DefaultParagraphFont"/>
    <w:link w:val="Heading1"/>
    <w:rsid w:val="000E681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E6818"/>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E6818"/>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0E6818"/>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0E681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0E6818"/>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E681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0E681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E6818"/>
    <w:rPr>
      <w:rFonts w:ascii="Cambria" w:eastAsia="Times New Roman"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9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19730-443D-460D-9CC3-19D00CF0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741</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UMBC Policy Archive Policy</vt:lpstr>
    </vt:vector>
  </TitlesOfParts>
  <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UMBC Policy Archive Policy</dc:title>
  <dc:creator>UMBC</dc:creator>
  <dc:description>"Policy Number Template" updated per T. Cook./jm</dc:description>
  <cp:lastModifiedBy>Windows User</cp:lastModifiedBy>
  <cp:revision>11</cp:revision>
  <cp:lastPrinted>2016-03-25T20:03:00Z</cp:lastPrinted>
  <dcterms:created xsi:type="dcterms:W3CDTF">2016-03-25T19:17:00Z</dcterms:created>
  <dcterms:modified xsi:type="dcterms:W3CDTF">2016-03-25T20:04:00Z</dcterms:modified>
</cp:coreProperties>
</file>