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F0C5D" w14:textId="77777777"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Dear Program Director, </w:t>
      </w:r>
    </w:p>
    <w:p w14:paraId="63EA0447" w14:textId="77777777"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 </w:t>
      </w:r>
    </w:p>
    <w:p w14:paraId="23B31659" w14:textId="7450589A"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Washington University and The McDonnell Genome Institute’s NHGRI-funded Opportunities in Genomics Research Program (OGR) is accepting applications for its Undergraduate Scholars Summer 2021 Program with an application deadline of February 19th.  The OGR Program focuses on providing students interested in pursuing the</w:t>
      </w:r>
      <w:r>
        <w:rPr>
          <w:rFonts w:ascii="Calibri" w:eastAsia="Times New Roman" w:hAnsi="Calibri" w:cs="Times New Roman"/>
          <w:color w:val="000000"/>
        </w:rPr>
        <w:t>ir</w:t>
      </w:r>
      <w:r w:rsidRPr="00571A70">
        <w:rPr>
          <w:rFonts w:ascii="Calibri" w:eastAsia="Times New Roman" w:hAnsi="Calibri" w:cs="Times New Roman"/>
          <w:color w:val="000000"/>
        </w:rPr>
        <w:t xml:space="preserve"> PhD with interdisciplinary research in genomic sciences </w:t>
      </w:r>
      <w:r>
        <w:rPr>
          <w:rFonts w:ascii="Calibri" w:eastAsia="Times New Roman" w:hAnsi="Calibri" w:cs="Times New Roman"/>
          <w:color w:val="000000"/>
        </w:rPr>
        <w:t xml:space="preserve">by allowing </w:t>
      </w:r>
      <w:r w:rsidRPr="00571A70">
        <w:rPr>
          <w:rFonts w:ascii="Calibri" w:eastAsia="Times New Roman" w:hAnsi="Calibri" w:cs="Times New Roman"/>
          <w:color w:val="000000"/>
        </w:rPr>
        <w:t>students to choose from over 30 labs at Washington University. The OGR program is based on three pillars: full-time mentored research, critical training in scientific communication, and community. Opportunities for focused outreach activities to local high school students are also available.  </w:t>
      </w:r>
    </w:p>
    <w:p w14:paraId="286D2628" w14:textId="77777777"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  </w:t>
      </w:r>
    </w:p>
    <w:p w14:paraId="7E5D8D7E" w14:textId="77777777"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Additional information on the OGR Summer Program as well as an associated Post-baccalaureate program can be found below and attached.  </w:t>
      </w:r>
    </w:p>
    <w:p w14:paraId="660A071E" w14:textId="77777777"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   </w:t>
      </w:r>
    </w:p>
    <w:p w14:paraId="29BFFCEA" w14:textId="2BD1D172" w:rsidR="00571A70" w:rsidRPr="00571A70" w:rsidRDefault="00571A70" w:rsidP="00571A70">
      <w:pPr>
        <w:rPr>
          <w:rFonts w:ascii="Calibri" w:eastAsia="Times New Roman" w:hAnsi="Calibri" w:cs="Times New Roman"/>
          <w:color w:val="000000"/>
        </w:rPr>
      </w:pPr>
      <w:r w:rsidRPr="00571A70">
        <w:rPr>
          <w:rFonts w:ascii="Calibri" w:eastAsia="Times New Roman" w:hAnsi="Calibri" w:cs="Times New Roman"/>
          <w:color w:val="000000"/>
        </w:rPr>
        <w:t>We would be excited if students from your school applied to the OGR program and would appreciate it if you forwarded this information to them. Additional information on the programs and an application link can be found at: </w:t>
      </w:r>
      <w:hyperlink r:id="rId5" w:history="1">
        <w:r w:rsidRPr="00571A70">
          <w:rPr>
            <w:rFonts w:ascii="Calibri" w:eastAsia="Times New Roman" w:hAnsi="Calibri" w:cs="Times New Roman"/>
            <w:color w:val="0000FF"/>
            <w:u w:val="single"/>
          </w:rPr>
          <w:t>https://www.genome.wustl.edu/outreach/ogr/</w:t>
        </w:r>
      </w:hyperlink>
      <w:r w:rsidRPr="00571A70">
        <w:rPr>
          <w:rFonts w:ascii="Calibri" w:eastAsia="Times New Roman" w:hAnsi="Calibri" w:cs="Times New Roman"/>
          <w:color w:val="000000"/>
        </w:rPr>
        <w:t> </w:t>
      </w:r>
    </w:p>
    <w:p w14:paraId="45566FE1" w14:textId="77777777" w:rsidR="00571A70" w:rsidRPr="00571A70" w:rsidRDefault="00571A70" w:rsidP="00571A70">
      <w:pPr>
        <w:shd w:val="clear" w:color="auto" w:fill="FFFFFF"/>
        <w:rPr>
          <w:rFonts w:ascii="Times New Roman" w:eastAsia="Times New Roman" w:hAnsi="Times New Roman" w:cs="Times New Roman"/>
          <w:color w:val="000000"/>
        </w:rPr>
      </w:pPr>
    </w:p>
    <w:p w14:paraId="200EE089" w14:textId="77777777" w:rsidR="00571A70" w:rsidRPr="00571A70" w:rsidRDefault="00571A70" w:rsidP="00571A70">
      <w:pPr>
        <w:shd w:val="clear" w:color="auto" w:fill="FFFFFF"/>
        <w:rPr>
          <w:rFonts w:ascii="Times New Roman" w:eastAsia="Times New Roman" w:hAnsi="Times New Roman" w:cs="Times New Roman"/>
          <w:color w:val="000000"/>
        </w:rPr>
      </w:pPr>
      <w:r w:rsidRPr="00571A70">
        <w:rPr>
          <w:rFonts w:ascii="Calibri" w:eastAsia="Times New Roman" w:hAnsi="Calibri" w:cs="Times New Roman"/>
          <w:color w:val="262626"/>
        </w:rPr>
        <w:t>Thank you, </w:t>
      </w:r>
      <w:r w:rsidRPr="00571A70">
        <w:rPr>
          <w:rFonts w:ascii="Arial" w:eastAsia="Times New Roman" w:hAnsi="Arial" w:cs="Arial"/>
          <w:color w:val="262626"/>
        </w:rPr>
        <w:br/>
      </w:r>
      <w:r w:rsidRPr="00571A70">
        <w:rPr>
          <w:rFonts w:ascii="Arial" w:eastAsia="Times New Roman" w:hAnsi="Arial" w:cs="Arial"/>
          <w:color w:val="262626"/>
        </w:rPr>
        <w:br/>
      </w:r>
      <w:r w:rsidRPr="00571A70">
        <w:rPr>
          <w:rFonts w:ascii="Calibri" w:eastAsia="Times New Roman" w:hAnsi="Calibri" w:cs="Times New Roman"/>
          <w:color w:val="262626"/>
        </w:rPr>
        <w:t xml:space="preserve">Lauren Johnson and Jim </w:t>
      </w:r>
      <w:proofErr w:type="spellStart"/>
      <w:r w:rsidRPr="00571A70">
        <w:rPr>
          <w:rFonts w:ascii="Calibri" w:eastAsia="Times New Roman" w:hAnsi="Calibri" w:cs="Times New Roman"/>
          <w:color w:val="262626"/>
        </w:rPr>
        <w:t>Skeath</w:t>
      </w:r>
      <w:proofErr w:type="spellEnd"/>
    </w:p>
    <w:p w14:paraId="75C89A6B" w14:textId="77777777" w:rsidR="00571A70" w:rsidRPr="00571A70" w:rsidRDefault="00571A70" w:rsidP="00571A70">
      <w:pPr>
        <w:rPr>
          <w:rFonts w:ascii="Times New Roman" w:eastAsia="Times New Roman" w:hAnsi="Times New Roman" w:cs="Times New Roman"/>
        </w:rPr>
      </w:pPr>
      <w:r w:rsidRPr="00571A70">
        <w:rPr>
          <w:rFonts w:ascii="-webkit-standard" w:eastAsia="Times New Roman" w:hAnsi="-webkit-standard" w:cs="Times New Roman"/>
          <w:color w:val="000000"/>
        </w:rPr>
        <w:br/>
      </w:r>
    </w:p>
    <w:p w14:paraId="2BD8F2FC" w14:textId="77777777" w:rsidR="00571A70" w:rsidRPr="00571A70" w:rsidRDefault="00571A70" w:rsidP="00571A70">
      <w:pPr>
        <w:rPr>
          <w:rFonts w:ascii="Calibri" w:eastAsia="Times New Roman" w:hAnsi="Calibri" w:cs="Times New Roman"/>
          <w:color w:val="000000"/>
        </w:rPr>
      </w:pPr>
    </w:p>
    <w:p w14:paraId="3CEE679E" w14:textId="77777777" w:rsidR="00571A70" w:rsidRPr="00571A70" w:rsidRDefault="00571A70" w:rsidP="00571A70">
      <w:pPr>
        <w:spacing w:after="192"/>
        <w:jc w:val="both"/>
        <w:rPr>
          <w:rFonts w:ascii="Calibri" w:eastAsia="Times New Roman" w:hAnsi="Calibri" w:cs="Times New Roman"/>
          <w:color w:val="000000"/>
        </w:rPr>
      </w:pPr>
      <w:r w:rsidRPr="00571A70">
        <w:rPr>
          <w:rFonts w:ascii="Calibri" w:eastAsia="Times New Roman" w:hAnsi="Calibri" w:cs="Times New Roman"/>
          <w:b/>
          <w:bCs/>
          <w:color w:val="3D3D3D"/>
          <w:spacing w:val="2"/>
          <w:u w:val="single"/>
        </w:rPr>
        <w:t>Opportunities in Genomics Research (OGR) </w:t>
      </w:r>
    </w:p>
    <w:p w14:paraId="2109E979" w14:textId="77777777" w:rsidR="00571A70" w:rsidRPr="00571A70" w:rsidRDefault="00571A70" w:rsidP="00571A70">
      <w:pPr>
        <w:shd w:val="clear" w:color="auto" w:fill="FFFFFF"/>
        <w:spacing w:after="240"/>
        <w:jc w:val="both"/>
        <w:rPr>
          <w:rFonts w:ascii="Calibri" w:eastAsia="Times New Roman" w:hAnsi="Calibri" w:cs="Times New Roman"/>
          <w:color w:val="000000"/>
        </w:rPr>
      </w:pPr>
      <w:r w:rsidRPr="00571A70">
        <w:rPr>
          <w:rFonts w:ascii="Calibri" w:eastAsia="Times New Roman" w:hAnsi="Calibri" w:cs="Times New Roman"/>
          <w:color w:val="555555"/>
        </w:rPr>
        <w:t>Opportunities in Genomics Research (OGR) invites talented and motivated students to participate in our summer (Undergraduate Scholars) or post-baccalaureate (Extensive Study) research programs. The goal of OGR is to increase the number of </w:t>
      </w:r>
      <w:r w:rsidRPr="00571A70">
        <w:rPr>
          <w:rFonts w:ascii="Calibri" w:eastAsia="Times New Roman" w:hAnsi="Calibri" w:cs="Times New Roman"/>
          <w:color w:val="595959"/>
        </w:rPr>
        <w:t>underrepresented students who pursue the PhD in genomics and related fields, and both programs are open to students who are members of an underrepresented group as defined by the NIH: </w:t>
      </w:r>
      <w:hyperlink r:id="rId6" w:history="1">
        <w:r w:rsidRPr="00571A70">
          <w:rPr>
            <w:rFonts w:ascii="Calibri" w:eastAsia="Times New Roman" w:hAnsi="Calibri" w:cs="Times New Roman"/>
            <w:color w:val="0000FF"/>
            <w:u w:val="single"/>
          </w:rPr>
          <w:t>https://diversity.nih.gov/about-us/population-underrepresented</w:t>
        </w:r>
      </w:hyperlink>
      <w:r w:rsidRPr="00571A70">
        <w:rPr>
          <w:rFonts w:ascii="Calibri" w:eastAsia="Times New Roman" w:hAnsi="Calibri" w:cs="Times New Roman"/>
          <w:color w:val="595959"/>
        </w:rPr>
        <w:t> </w:t>
      </w:r>
    </w:p>
    <w:p w14:paraId="24CF6290" w14:textId="2F03AA56" w:rsidR="00571A70" w:rsidRPr="00571A70" w:rsidRDefault="00571A70" w:rsidP="00571A70">
      <w:pPr>
        <w:numPr>
          <w:ilvl w:val="0"/>
          <w:numId w:val="1"/>
        </w:num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b/>
          <w:bCs/>
          <w:color w:val="555555"/>
        </w:rPr>
        <w:t>Undergraduate Scholars program</w:t>
      </w:r>
      <w:r w:rsidRPr="00571A70">
        <w:rPr>
          <w:rFonts w:ascii="Calibri" w:eastAsia="Times New Roman" w:hAnsi="Calibri" w:cs="Times New Roman"/>
          <w:color w:val="555555"/>
        </w:rPr>
        <w:br/>
        <w:t xml:space="preserve">A 10-week summer program focused on engaging students in mentored research, training them in scientific presentation and the basics of computer programming, and preparing them for a career in research-based science. Students receive a competitive stipend of at least $4,500 as well as free housing and travel costs. Planned program dates are May 29 through August 6, 2021. The application for Summer 2021 is now open and will close on February 19, 2021. ***We hope to run the summer program through an in-person format, but if University guidelines dictate, we will run the program in a virtual </w:t>
      </w:r>
      <w:proofErr w:type="gramStart"/>
      <w:r w:rsidRPr="00571A70">
        <w:rPr>
          <w:rFonts w:ascii="Calibri" w:eastAsia="Times New Roman" w:hAnsi="Calibri" w:cs="Times New Roman"/>
          <w:color w:val="555555"/>
        </w:rPr>
        <w:t>format.*</w:t>
      </w:r>
      <w:proofErr w:type="gramEnd"/>
      <w:r w:rsidRPr="00571A70">
        <w:rPr>
          <w:rFonts w:ascii="Calibri" w:eastAsia="Times New Roman" w:hAnsi="Calibri" w:cs="Times New Roman"/>
          <w:color w:val="555555"/>
        </w:rPr>
        <w:t>**  </w:t>
      </w:r>
      <w:r w:rsidRPr="00571A70">
        <w:rPr>
          <w:rFonts w:ascii="Calibri" w:eastAsia="Times New Roman" w:hAnsi="Calibri" w:cs="Times New Roman"/>
          <w:color w:val="000000"/>
        </w:rPr>
        <w:br/>
      </w:r>
      <w:r w:rsidRPr="00571A70">
        <w:rPr>
          <w:rFonts w:ascii="Calibri" w:eastAsia="Times New Roman" w:hAnsi="Calibri" w:cs="Times New Roman"/>
          <w:color w:val="000000"/>
        </w:rPr>
        <w:lastRenderedPageBreak/>
        <w:br/>
      </w:r>
      <w:r w:rsidRPr="00571A70">
        <w:rPr>
          <w:rFonts w:ascii="Calibri" w:eastAsia="Times New Roman" w:hAnsi="Calibri" w:cs="Times New Roman"/>
          <w:color w:val="555555"/>
        </w:rPr>
        <w:t> </w:t>
      </w:r>
    </w:p>
    <w:p w14:paraId="4304F711" w14:textId="77777777" w:rsidR="00571A70" w:rsidRPr="00571A70" w:rsidRDefault="00571A70" w:rsidP="00571A70">
      <w:pPr>
        <w:numPr>
          <w:ilvl w:val="0"/>
          <w:numId w:val="1"/>
        </w:num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b/>
          <w:bCs/>
          <w:color w:val="555555"/>
        </w:rPr>
        <w:t>Extensive Study program</w:t>
      </w:r>
      <w:r w:rsidRPr="00571A70">
        <w:rPr>
          <w:rFonts w:ascii="Calibri" w:eastAsia="Times New Roman" w:hAnsi="Calibri" w:cs="Times New Roman"/>
          <w:color w:val="555555"/>
        </w:rPr>
        <w:br/>
        <w:t>A 10-month program designed for recent college graduates, the Extensive Study Program offers students the opportunity for a full-time mentored research experience, rigorous training in programming using Python, regular workshops on oral and written scientific communication, and individualized career preparation within a supportive community – ideal preparation for graduate school in genomics or a related field. The program dates for the 2021-2022 program are September 1, 2021 – June 30, 2022. Applications for this program will be open on February 22 through April 15, 2021. </w:t>
      </w:r>
    </w:p>
    <w:p w14:paraId="30872F54" w14:textId="0F21A485" w:rsidR="00571A70" w:rsidRPr="00571A70" w:rsidRDefault="00571A70" w:rsidP="00571A70">
      <w:p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color w:val="555555"/>
        </w:rPr>
        <w:t>All students participating in the OGR Undergraduate Scholars or Extensive Study programs will take part in cutting-edge research as part of an independent research team in a lab at the Washington University School of Medicine. All students will give oral presentations on their research findings as part of a Closing Symposium at the end of their respective programs.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b/>
          <w:bCs/>
          <w:color w:val="555555"/>
        </w:rPr>
        <w:t>All OGR programs provide competitive summer stipends and post-baccalaureate salaries. For summer students, on-campus housing and travel to the program are provided.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b/>
          <w:bCs/>
          <w:color w:val="3D3D3D"/>
        </w:rPr>
        <w:t>Requirements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b/>
          <w:bCs/>
          <w:color w:val="555555"/>
        </w:rPr>
        <w:t>Undergraduate Scholars</w:t>
      </w:r>
      <w:r w:rsidRPr="00571A70">
        <w:rPr>
          <w:rFonts w:ascii="Calibri" w:eastAsia="Times New Roman" w:hAnsi="Calibri" w:cs="Times New Roman"/>
          <w:color w:val="555555"/>
        </w:rPr>
        <w:t> must be a sophomore, junior, or senior at a four-year institution at the time of program entry.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b/>
          <w:bCs/>
          <w:color w:val="555555"/>
        </w:rPr>
        <w:t>Extensive Study scholars</w:t>
      </w:r>
      <w:r w:rsidRPr="00571A70">
        <w:rPr>
          <w:rFonts w:ascii="Calibri" w:eastAsia="Times New Roman" w:hAnsi="Calibri" w:cs="Times New Roman"/>
          <w:color w:val="555555"/>
        </w:rPr>
        <w:t> must have completed a BS within two years of the application.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b/>
          <w:bCs/>
          <w:color w:val="555555"/>
        </w:rPr>
        <w:t>Requirements for both programs:</w:t>
      </w:r>
      <w:r w:rsidRPr="00571A70">
        <w:rPr>
          <w:rFonts w:ascii="Calibri" w:eastAsia="Times New Roman" w:hAnsi="Calibri" w:cs="Times New Roman"/>
          <w:color w:val="555555"/>
        </w:rPr>
        <w:t> </w:t>
      </w:r>
    </w:p>
    <w:p w14:paraId="4D2F6F6C" w14:textId="77777777" w:rsidR="00571A70" w:rsidRPr="00571A70" w:rsidRDefault="00571A70" w:rsidP="00571A70">
      <w:pPr>
        <w:numPr>
          <w:ilvl w:val="0"/>
          <w:numId w:val="2"/>
        </w:num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color w:val="555555"/>
        </w:rPr>
        <w:t>GPA: Competitive – highly competitive </w:t>
      </w:r>
    </w:p>
    <w:p w14:paraId="2FD26E22" w14:textId="77777777" w:rsidR="00571A70" w:rsidRPr="00571A70" w:rsidRDefault="00571A70" w:rsidP="00571A70">
      <w:pPr>
        <w:numPr>
          <w:ilvl w:val="0"/>
          <w:numId w:val="2"/>
        </w:num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color w:val="555555"/>
        </w:rPr>
        <w:t>Residency: Must be a US citizen or permanent resident </w:t>
      </w:r>
    </w:p>
    <w:p w14:paraId="255EF18B" w14:textId="77777777" w:rsidR="00571A70" w:rsidRDefault="00571A70" w:rsidP="00571A70">
      <w:pPr>
        <w:numPr>
          <w:ilvl w:val="0"/>
          <w:numId w:val="2"/>
        </w:num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color w:val="555555"/>
        </w:rPr>
        <w:t>Major/Degree: Science, technology, engineering or mathematics (with some exceptions) </w:t>
      </w:r>
    </w:p>
    <w:p w14:paraId="32C7D941" w14:textId="77777777" w:rsidR="00571A70" w:rsidRDefault="00571A70" w:rsidP="00571A70">
      <w:pPr>
        <w:spacing w:before="100" w:beforeAutospacing="1" w:after="100" w:afterAutospacing="1"/>
        <w:ind w:left="720"/>
        <w:rPr>
          <w:rFonts w:ascii="Calibri" w:eastAsia="Times New Roman" w:hAnsi="Calibri" w:cs="Times New Roman"/>
          <w:color w:val="000000"/>
        </w:rPr>
      </w:pPr>
    </w:p>
    <w:p w14:paraId="36D7D768" w14:textId="33EE8A07" w:rsidR="00571A70" w:rsidRPr="00571A70" w:rsidRDefault="00571A70" w:rsidP="00571A70">
      <w:pPr>
        <w:spacing w:before="100" w:beforeAutospacing="1" w:after="100" w:afterAutospacing="1"/>
        <w:rPr>
          <w:rFonts w:ascii="Calibri" w:eastAsia="Times New Roman" w:hAnsi="Calibri" w:cs="Times New Roman"/>
          <w:color w:val="000000"/>
        </w:rPr>
      </w:pPr>
      <w:r w:rsidRPr="00571A70">
        <w:rPr>
          <w:rFonts w:ascii="Calibri" w:eastAsia="Times New Roman" w:hAnsi="Calibri" w:cs="Times New Roman"/>
          <w:color w:val="555555"/>
        </w:rPr>
        <w:t>OGR is supported by the </w:t>
      </w:r>
      <w:hyperlink r:id="rId7" w:history="1">
        <w:r w:rsidRPr="00571A70">
          <w:rPr>
            <w:rFonts w:ascii="Calibri" w:eastAsia="Times New Roman" w:hAnsi="Calibri" w:cs="Times New Roman"/>
            <w:color w:val="D01C29"/>
            <w:u w:val="single"/>
          </w:rPr>
          <w:t>National Human Genome Research Institute’s Diversity Action Plan</w:t>
        </w:r>
      </w:hyperlink>
      <w:r w:rsidRPr="00571A70">
        <w:rPr>
          <w:rFonts w:ascii="Calibri" w:eastAsia="Times New Roman" w:hAnsi="Calibri" w:cs="Times New Roman"/>
          <w:color w:val="555555"/>
        </w:rPr>
        <w:t>.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color w:val="555555"/>
        </w:rPr>
        <w:t>The 2021 Undergraduate Scholars program application deadline is February 19, 2021.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Pr>
          <w:rFonts w:ascii="Calibri" w:eastAsia="Times New Roman" w:hAnsi="Calibri" w:cs="Times New Roman"/>
          <w:b/>
          <w:bCs/>
          <w:color w:val="3D3D3D"/>
        </w:rPr>
        <w:br/>
      </w:r>
      <w:r w:rsidRPr="00571A70">
        <w:rPr>
          <w:rFonts w:ascii="Calibri" w:eastAsia="Times New Roman" w:hAnsi="Calibri" w:cs="Times New Roman"/>
          <w:b/>
          <w:bCs/>
          <w:color w:val="3D3D3D"/>
        </w:rPr>
        <w:t>Selected labs </w:t>
      </w:r>
      <w:r w:rsidRPr="00571A70">
        <w:rPr>
          <w:rFonts w:ascii="Calibri" w:eastAsia="Times New Roman" w:hAnsi="Calibri" w:cs="Times New Roman"/>
          <w:color w:val="000000"/>
        </w:rPr>
        <w:br/>
      </w:r>
      <w:r w:rsidRPr="00571A70">
        <w:rPr>
          <w:rFonts w:ascii="Calibri" w:eastAsia="Times New Roman" w:hAnsi="Calibri" w:cs="Times New Roman"/>
          <w:color w:val="000000"/>
        </w:rPr>
        <w:br/>
      </w:r>
      <w:r w:rsidRPr="00571A70">
        <w:rPr>
          <w:rFonts w:ascii="Calibri" w:eastAsia="Times New Roman" w:hAnsi="Calibri" w:cs="Times New Roman"/>
          <w:color w:val="555555"/>
        </w:rPr>
        <w:t xml:space="preserve">Available projects for OGR participants come from essentially all fields of biology, with a </w:t>
      </w:r>
      <w:r w:rsidRPr="00571A70">
        <w:rPr>
          <w:rFonts w:ascii="Calibri" w:eastAsia="Times New Roman" w:hAnsi="Calibri" w:cs="Times New Roman"/>
          <w:color w:val="555555"/>
        </w:rPr>
        <w:lastRenderedPageBreak/>
        <w:t xml:space="preserve">common thread being that all project leverage genomics-based approaches. Below </w:t>
      </w:r>
      <w:proofErr w:type="gramStart"/>
      <w:r w:rsidRPr="00571A70">
        <w:rPr>
          <w:rFonts w:ascii="Calibri" w:eastAsia="Times New Roman" w:hAnsi="Calibri" w:cs="Times New Roman"/>
          <w:color w:val="555555"/>
        </w:rPr>
        <w:t>are</w:t>
      </w:r>
      <w:proofErr w:type="gramEnd"/>
      <w:r w:rsidRPr="00571A70">
        <w:rPr>
          <w:rFonts w:ascii="Calibri" w:eastAsia="Times New Roman" w:hAnsi="Calibri" w:cs="Times New Roman"/>
          <w:color w:val="555555"/>
        </w:rPr>
        <w:t xml:space="preserve"> a small sampling of current OGR mentors and relevant research areas  </w:t>
      </w:r>
    </w:p>
    <w:p w14:paraId="116F8E72"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8" w:history="1">
        <w:r w:rsidRPr="00571A70">
          <w:rPr>
            <w:rFonts w:ascii="Calibri" w:eastAsia="Times New Roman" w:hAnsi="Calibri" w:cs="Times New Roman"/>
            <w:color w:val="D01C29"/>
            <w:u w:val="single"/>
          </w:rPr>
          <w:t>Luis Batista</w:t>
        </w:r>
      </w:hyperlink>
      <w:r w:rsidRPr="00571A70">
        <w:rPr>
          <w:rFonts w:ascii="Calibri" w:eastAsia="Times New Roman" w:hAnsi="Calibri" w:cs="Times New Roman"/>
          <w:color w:val="555555"/>
        </w:rPr>
        <w:t xml:space="preserve"> – stem cells, </w:t>
      </w:r>
      <w:proofErr w:type="spellStart"/>
      <w:r w:rsidRPr="00571A70">
        <w:rPr>
          <w:rFonts w:ascii="Calibri" w:eastAsia="Times New Roman" w:hAnsi="Calibri" w:cs="Times New Roman"/>
          <w:color w:val="555555"/>
        </w:rPr>
        <w:t>iPS</w:t>
      </w:r>
      <w:proofErr w:type="spellEnd"/>
      <w:r w:rsidRPr="00571A70">
        <w:rPr>
          <w:rFonts w:ascii="Calibri" w:eastAsia="Times New Roman" w:hAnsi="Calibri" w:cs="Times New Roman"/>
          <w:color w:val="555555"/>
        </w:rPr>
        <w:t xml:space="preserve"> cells, telomerase, DNA repair, DNA damage, tissue dysfunction, telomeres  </w:t>
      </w:r>
    </w:p>
    <w:p w14:paraId="7FB860D6"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9" w:history="1">
        <w:r w:rsidRPr="00571A70">
          <w:rPr>
            <w:rFonts w:ascii="Calibri" w:eastAsia="Times New Roman" w:hAnsi="Calibri" w:cs="Times New Roman"/>
            <w:color w:val="D01C29"/>
            <w:u w:val="single"/>
          </w:rPr>
          <w:t>Barak Cohen</w:t>
        </w:r>
      </w:hyperlink>
      <w:r w:rsidRPr="00571A70">
        <w:rPr>
          <w:rFonts w:ascii="Calibri" w:eastAsia="Times New Roman" w:hAnsi="Calibri" w:cs="Times New Roman"/>
          <w:color w:val="555555"/>
        </w:rPr>
        <w:t> – systems biology, enhancers and gene regulatory networks, non-coding genetic variation, computational biology, genomics  </w:t>
      </w:r>
    </w:p>
    <w:p w14:paraId="5F67DF23"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0" w:history="1">
        <w:r w:rsidRPr="00571A70">
          <w:rPr>
            <w:rFonts w:ascii="Calibri" w:eastAsia="Times New Roman" w:hAnsi="Calibri" w:cs="Times New Roman"/>
            <w:color w:val="D01C29"/>
            <w:u w:val="single"/>
          </w:rPr>
          <w:t>Kerry Kornfeld</w:t>
        </w:r>
      </w:hyperlink>
      <w:r w:rsidRPr="00571A70">
        <w:rPr>
          <w:rFonts w:ascii="Calibri" w:eastAsia="Times New Roman" w:hAnsi="Calibri" w:cs="Times New Roman"/>
          <w:color w:val="555555"/>
        </w:rPr>
        <w:t> – genetics, cell biology and developmental biology </w:t>
      </w:r>
    </w:p>
    <w:p w14:paraId="2EE8230C"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1" w:history="1">
        <w:r w:rsidRPr="00571A70">
          <w:rPr>
            <w:rFonts w:ascii="Calibri" w:eastAsia="Times New Roman" w:hAnsi="Calibri" w:cs="Times New Roman"/>
            <w:color w:val="D01C29"/>
            <w:u w:val="single"/>
          </w:rPr>
          <w:t>Christopher Maher</w:t>
        </w:r>
      </w:hyperlink>
      <w:r w:rsidRPr="00571A70">
        <w:rPr>
          <w:rFonts w:ascii="Calibri" w:eastAsia="Times New Roman" w:hAnsi="Calibri" w:cs="Times New Roman"/>
          <w:color w:val="555555"/>
        </w:rPr>
        <w:t xml:space="preserve"> – non-coding RNAs, </w:t>
      </w:r>
      <w:proofErr w:type="spellStart"/>
      <w:r w:rsidRPr="00571A70">
        <w:rPr>
          <w:rFonts w:ascii="Calibri" w:eastAsia="Times New Roman" w:hAnsi="Calibri" w:cs="Times New Roman"/>
          <w:color w:val="555555"/>
        </w:rPr>
        <w:t>lncRNAs</w:t>
      </w:r>
      <w:proofErr w:type="spellEnd"/>
      <w:r w:rsidRPr="00571A70">
        <w:rPr>
          <w:rFonts w:ascii="Calibri" w:eastAsia="Times New Roman" w:hAnsi="Calibri" w:cs="Times New Roman"/>
          <w:color w:val="555555"/>
        </w:rPr>
        <w:t>, cancer genomics, transcriptome, bioinformatics </w:t>
      </w:r>
    </w:p>
    <w:p w14:paraId="1A955B54"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2" w:history="1">
        <w:r w:rsidRPr="00571A70">
          <w:rPr>
            <w:rFonts w:ascii="Calibri" w:eastAsia="Times New Roman" w:hAnsi="Calibri" w:cs="Times New Roman"/>
            <w:color w:val="FF0000"/>
            <w:u w:val="single"/>
          </w:rPr>
          <w:t>Rob Mitra</w:t>
        </w:r>
      </w:hyperlink>
      <w:r w:rsidRPr="00571A70">
        <w:rPr>
          <w:rFonts w:ascii="Calibri" w:eastAsia="Times New Roman" w:hAnsi="Calibri" w:cs="Times New Roman"/>
          <w:color w:val="555555"/>
        </w:rPr>
        <w:t> – Deciphering the transcriptional regulatory networks that control development, single molecule proteomics. </w:t>
      </w:r>
    </w:p>
    <w:p w14:paraId="6EDD626E"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3" w:history="1">
        <w:r w:rsidRPr="00571A70">
          <w:rPr>
            <w:rFonts w:ascii="Calibri" w:eastAsia="Times New Roman" w:hAnsi="Calibri" w:cs="Times New Roman"/>
            <w:color w:val="D01C29"/>
            <w:u w:val="single"/>
          </w:rPr>
          <w:t>Christina Guzman-Strong</w:t>
        </w:r>
      </w:hyperlink>
      <w:r w:rsidRPr="00571A70">
        <w:rPr>
          <w:rFonts w:ascii="Calibri" w:eastAsia="Times New Roman" w:hAnsi="Calibri" w:cs="Times New Roman"/>
          <w:color w:val="555555"/>
        </w:rPr>
        <w:t> – epigenetics, genetics, genomics, chromatin, enhancer, skin, transcriptional regulation, disease, translational research  </w:t>
      </w:r>
    </w:p>
    <w:p w14:paraId="3E1609A7"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4" w:history="1">
        <w:r w:rsidRPr="00571A70">
          <w:rPr>
            <w:rFonts w:ascii="Calibri" w:eastAsia="Times New Roman" w:hAnsi="Calibri" w:cs="Times New Roman"/>
            <w:color w:val="D01C29"/>
            <w:u w:val="single"/>
          </w:rPr>
          <w:t>Matt Walter</w:t>
        </w:r>
      </w:hyperlink>
      <w:r w:rsidRPr="00571A70">
        <w:rPr>
          <w:rFonts w:ascii="Calibri" w:eastAsia="Times New Roman" w:hAnsi="Calibri" w:cs="Times New Roman"/>
          <w:color w:val="555555"/>
        </w:rPr>
        <w:t> – cancer, functional genomics, gene expression profiling, hematopoiesis, stem cells, tumor biology </w:t>
      </w:r>
    </w:p>
    <w:p w14:paraId="6E7D1086" w14:textId="77777777" w:rsidR="00571A70" w:rsidRPr="00571A70" w:rsidRDefault="00571A70" w:rsidP="00571A70">
      <w:pPr>
        <w:numPr>
          <w:ilvl w:val="0"/>
          <w:numId w:val="3"/>
        </w:numPr>
        <w:spacing w:before="100" w:beforeAutospacing="1" w:after="100" w:afterAutospacing="1"/>
        <w:rPr>
          <w:rFonts w:ascii="Calibri" w:eastAsia="Times New Roman" w:hAnsi="Calibri" w:cs="Times New Roman"/>
          <w:color w:val="000000"/>
        </w:rPr>
      </w:pPr>
      <w:hyperlink r:id="rId15" w:history="1">
        <w:r w:rsidRPr="00571A70">
          <w:rPr>
            <w:rFonts w:ascii="Calibri" w:eastAsia="Times New Roman" w:hAnsi="Calibri" w:cs="Times New Roman"/>
            <w:color w:val="FF0000"/>
            <w:u w:val="single"/>
          </w:rPr>
          <w:t>Ting Wang</w:t>
        </w:r>
      </w:hyperlink>
      <w:r w:rsidRPr="00571A70">
        <w:rPr>
          <w:rFonts w:ascii="Calibri" w:eastAsia="Times New Roman" w:hAnsi="Calibri" w:cs="Times New Roman"/>
          <w:color w:val="555555"/>
        </w:rPr>
        <w:t> – Evolutionary characterization of gene regulatory networks, biological function and regulation of transposable elements, computational epigenomics.  </w:t>
      </w:r>
    </w:p>
    <w:p w14:paraId="63BEAD1E" w14:textId="77777777" w:rsidR="00571A70" w:rsidRDefault="00571A70"/>
    <w:sectPr w:rsidR="0057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441B6"/>
    <w:multiLevelType w:val="multilevel"/>
    <w:tmpl w:val="6B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72B53"/>
    <w:multiLevelType w:val="multilevel"/>
    <w:tmpl w:val="97AC4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62C8C"/>
    <w:multiLevelType w:val="multilevel"/>
    <w:tmpl w:val="60D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70"/>
    <w:rsid w:val="00571A70"/>
    <w:rsid w:val="00BB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0F799"/>
  <w15:chartTrackingRefBased/>
  <w15:docId w15:val="{8318B3E0-1EFB-7D43-A074-2B6BD6D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A70"/>
    <w:rPr>
      <w:color w:val="0000FF"/>
      <w:u w:val="single"/>
    </w:rPr>
  </w:style>
  <w:style w:type="paragraph" w:customStyle="1" w:styleId="xmsonormal">
    <w:name w:val="x_msonormal"/>
    <w:basedOn w:val="Normal"/>
    <w:rsid w:val="00571A70"/>
    <w:pPr>
      <w:spacing w:before="100" w:beforeAutospacing="1" w:after="100" w:afterAutospacing="1"/>
    </w:pPr>
    <w:rPr>
      <w:rFonts w:ascii="Times New Roman" w:eastAsia="Times New Roman" w:hAnsi="Times New Roman" w:cs="Times New Roman"/>
    </w:rPr>
  </w:style>
  <w:style w:type="paragraph" w:customStyle="1" w:styleId="xxmsonormal">
    <w:name w:val="x_x_msonormal"/>
    <w:basedOn w:val="Normal"/>
    <w:rsid w:val="00571A7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7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8292">
      <w:bodyDiv w:val="1"/>
      <w:marLeft w:val="0"/>
      <w:marRight w:val="0"/>
      <w:marTop w:val="0"/>
      <w:marBottom w:val="0"/>
      <w:divBdr>
        <w:top w:val="none" w:sz="0" w:space="0" w:color="auto"/>
        <w:left w:val="none" w:sz="0" w:space="0" w:color="auto"/>
        <w:bottom w:val="none" w:sz="0" w:space="0" w:color="auto"/>
        <w:right w:val="none" w:sz="0" w:space="0" w:color="auto"/>
      </w:divBdr>
      <w:divsChild>
        <w:div w:id="469054648">
          <w:marLeft w:val="0"/>
          <w:marRight w:val="0"/>
          <w:marTop w:val="0"/>
          <w:marBottom w:val="0"/>
          <w:divBdr>
            <w:top w:val="none" w:sz="0" w:space="0" w:color="auto"/>
            <w:left w:val="none" w:sz="0" w:space="0" w:color="auto"/>
            <w:bottom w:val="none" w:sz="0" w:space="0" w:color="auto"/>
            <w:right w:val="none" w:sz="0" w:space="0" w:color="auto"/>
          </w:divBdr>
          <w:divsChild>
            <w:div w:id="385035715">
              <w:marLeft w:val="0"/>
              <w:marRight w:val="0"/>
              <w:marTop w:val="0"/>
              <w:marBottom w:val="0"/>
              <w:divBdr>
                <w:top w:val="none" w:sz="0" w:space="0" w:color="auto"/>
                <w:left w:val="none" w:sz="0" w:space="0" w:color="auto"/>
                <w:bottom w:val="none" w:sz="0" w:space="0" w:color="auto"/>
                <w:right w:val="none" w:sz="0" w:space="0" w:color="auto"/>
              </w:divBdr>
              <w:divsChild>
                <w:div w:id="407385986">
                  <w:marLeft w:val="0"/>
                  <w:marRight w:val="0"/>
                  <w:marTop w:val="0"/>
                  <w:marBottom w:val="0"/>
                  <w:divBdr>
                    <w:top w:val="none" w:sz="0" w:space="0" w:color="auto"/>
                    <w:left w:val="none" w:sz="0" w:space="0" w:color="auto"/>
                    <w:bottom w:val="none" w:sz="0" w:space="0" w:color="auto"/>
                    <w:right w:val="none" w:sz="0" w:space="0" w:color="auto"/>
                  </w:divBdr>
                  <w:divsChild>
                    <w:div w:id="2112506297">
                      <w:marLeft w:val="0"/>
                      <w:marRight w:val="0"/>
                      <w:marTop w:val="0"/>
                      <w:marBottom w:val="0"/>
                      <w:divBdr>
                        <w:top w:val="none" w:sz="0" w:space="0" w:color="auto"/>
                        <w:left w:val="none" w:sz="0" w:space="0" w:color="auto"/>
                        <w:bottom w:val="none" w:sz="0" w:space="0" w:color="auto"/>
                        <w:right w:val="none" w:sz="0" w:space="0" w:color="auto"/>
                      </w:divBdr>
                    </w:div>
                    <w:div w:id="1214122249">
                      <w:marLeft w:val="0"/>
                      <w:marRight w:val="0"/>
                      <w:marTop w:val="0"/>
                      <w:marBottom w:val="0"/>
                      <w:divBdr>
                        <w:top w:val="none" w:sz="0" w:space="0" w:color="auto"/>
                        <w:left w:val="none" w:sz="0" w:space="0" w:color="auto"/>
                        <w:bottom w:val="none" w:sz="0" w:space="0" w:color="auto"/>
                        <w:right w:val="none" w:sz="0" w:space="0" w:color="auto"/>
                      </w:divBdr>
                      <w:divsChild>
                        <w:div w:id="1288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bs.wustl.edu/faculty/Pages/faculty_bio.aspx?SID=6502" TargetMode="External"/><Relationship Id="rId13" Type="http://schemas.openxmlformats.org/officeDocument/2006/relationships/hyperlink" Target="http://csi.wustl.edu/faculty/de_guzman_strong_cristina" TargetMode="External"/><Relationship Id="rId3" Type="http://schemas.openxmlformats.org/officeDocument/2006/relationships/settings" Target="settings.xml"/><Relationship Id="rId7" Type="http://schemas.openxmlformats.org/officeDocument/2006/relationships/hyperlink" Target="https://www.genome.gov/14514228/history-of-nhgris-minoritydiversity-action-plan/" TargetMode="External"/><Relationship Id="rId12" Type="http://schemas.openxmlformats.org/officeDocument/2006/relationships/hyperlink" Target="http://genetics.wustl.edu/rmla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versity.nih.gov/about-us/population-underrepresented" TargetMode="External"/><Relationship Id="rId11" Type="http://schemas.openxmlformats.org/officeDocument/2006/relationships/hyperlink" Target="http://maherlab.com/" TargetMode="External"/><Relationship Id="rId5" Type="http://schemas.openxmlformats.org/officeDocument/2006/relationships/hyperlink" Target="https://www.genome.wustl.edu/outreach/ogr/" TargetMode="External"/><Relationship Id="rId15" Type="http://schemas.openxmlformats.org/officeDocument/2006/relationships/hyperlink" Target="http://wang.wustl.edu/" TargetMode="External"/><Relationship Id="rId10" Type="http://schemas.openxmlformats.org/officeDocument/2006/relationships/hyperlink" Target="http://kornfeldlab.wustl.edu/" TargetMode="External"/><Relationship Id="rId4" Type="http://schemas.openxmlformats.org/officeDocument/2006/relationships/webSettings" Target="webSettings.xml"/><Relationship Id="rId9" Type="http://schemas.openxmlformats.org/officeDocument/2006/relationships/hyperlink" Target="http://genetics.wustl.edu/bclab/" TargetMode="External"/><Relationship Id="rId14" Type="http://schemas.openxmlformats.org/officeDocument/2006/relationships/hyperlink" Target="https://hematology.im.wustl.edu/people/faculty/Walter/Walter_B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Lauren</dc:creator>
  <cp:keywords/>
  <dc:description/>
  <cp:lastModifiedBy>Johnson, Lauren</cp:lastModifiedBy>
  <cp:revision>1</cp:revision>
  <dcterms:created xsi:type="dcterms:W3CDTF">2021-01-11T22:26:00Z</dcterms:created>
  <dcterms:modified xsi:type="dcterms:W3CDTF">2021-01-11T22:39:00Z</dcterms:modified>
</cp:coreProperties>
</file>