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4B7" w:rsidRPr="001164B7" w:rsidRDefault="001164B7" w:rsidP="001164B7">
      <w:pPr>
        <w:shd w:val="clear" w:color="auto" w:fill="FFFFFF"/>
        <w:spacing w:line="570" w:lineRule="atLeast"/>
        <w:textAlignment w:val="baseline"/>
        <w:outlineLvl w:val="1"/>
        <w:rPr>
          <w:sz w:val="24"/>
          <w:szCs w:val="24"/>
        </w:rPr>
      </w:pPr>
      <w:r w:rsidRPr="001164B7">
        <w:rPr>
          <w:sz w:val="24"/>
          <w:szCs w:val="24"/>
        </w:rPr>
        <w:t>June 23, 2017</w:t>
      </w:r>
    </w:p>
    <w:p w:rsidR="001164B7" w:rsidRDefault="001164B7" w:rsidP="001164B7">
      <w:pPr>
        <w:shd w:val="clear" w:color="auto" w:fill="FFFFFF"/>
        <w:spacing w:line="570" w:lineRule="atLeast"/>
        <w:textAlignment w:val="baseline"/>
        <w:outlineLvl w:val="1"/>
        <w:rPr>
          <w:rFonts w:ascii="Arial" w:hAnsi="Arial" w:cs="Arial"/>
          <w:sz w:val="24"/>
          <w:szCs w:val="24"/>
        </w:rPr>
      </w:pPr>
    </w:p>
    <w:p w:rsidR="001164B7" w:rsidRDefault="001164B7" w:rsidP="001164B7">
      <w:pPr>
        <w:rPr>
          <w:color w:val="494949"/>
          <w:sz w:val="24"/>
          <w:szCs w:val="24"/>
        </w:rPr>
      </w:pPr>
      <w:r w:rsidRPr="001164B7">
        <w:rPr>
          <w:sz w:val="24"/>
          <w:szCs w:val="24"/>
        </w:rPr>
        <w:t xml:space="preserve">The U.S. Department of Health and Human Services and 15 other federal departments and agencies published a </w:t>
      </w:r>
      <w:hyperlink r:id="rId7" w:history="1">
        <w:r w:rsidRPr="001164B7">
          <w:rPr>
            <w:rStyle w:val="Hyperlink"/>
            <w:color w:val="0000FF"/>
            <w:sz w:val="24"/>
            <w:szCs w:val="24"/>
          </w:rPr>
          <w:t>Final Rule (82 Fed. Reg. 7149)</w:t>
        </w:r>
      </w:hyperlink>
      <w:r w:rsidRPr="001164B7">
        <w:rPr>
          <w:sz w:val="24"/>
          <w:szCs w:val="24"/>
        </w:rPr>
        <w:t xml:space="preserve"> on January 18, 2017 to revise the Federal Policy for the Protection of Human Subjects (the </w:t>
      </w:r>
      <w:hyperlink r:id="rId8" w:history="1">
        <w:r w:rsidRPr="001164B7">
          <w:rPr>
            <w:color w:val="0000FF"/>
            <w:sz w:val="24"/>
            <w:szCs w:val="24"/>
            <w:u w:val="single"/>
            <w:bdr w:val="none" w:sz="0" w:space="0" w:color="auto" w:frame="1"/>
          </w:rPr>
          <w:t>Common Rule</w:t>
        </w:r>
      </w:hyperlink>
      <w:r w:rsidRPr="001164B7">
        <w:rPr>
          <w:sz w:val="24"/>
          <w:szCs w:val="24"/>
        </w:rPr>
        <w:t>). This revision is the first reform to the Common Rule since 1991 and has a planned implementation date of January 19, 2018. An overall summary</w:t>
      </w:r>
      <w:r w:rsidR="00CC0FEC">
        <w:rPr>
          <w:sz w:val="24"/>
          <w:szCs w:val="24"/>
        </w:rPr>
        <w:t xml:space="preserve"> </w:t>
      </w:r>
      <w:r w:rsidR="00CC0FEC" w:rsidRPr="001164B7">
        <w:rPr>
          <w:sz w:val="24"/>
          <w:szCs w:val="24"/>
        </w:rPr>
        <w:t>of the changes to the Rule</w:t>
      </w:r>
      <w:r w:rsidR="00CC0FEC">
        <w:rPr>
          <w:sz w:val="24"/>
          <w:szCs w:val="24"/>
        </w:rPr>
        <w:t xml:space="preserve">, courtesy of the </w:t>
      </w:r>
      <w:r w:rsidR="00CC0FEC" w:rsidRPr="00CC0FEC">
        <w:rPr>
          <w:sz w:val="24"/>
          <w:szCs w:val="24"/>
        </w:rPr>
        <w:t>Council on Governmental Relations</w:t>
      </w:r>
      <w:r w:rsidR="00CC0FEC">
        <w:rPr>
          <w:sz w:val="24"/>
          <w:szCs w:val="24"/>
        </w:rPr>
        <w:t xml:space="preserve"> (COGR),</w:t>
      </w:r>
      <w:r w:rsidRPr="001164B7">
        <w:rPr>
          <w:sz w:val="24"/>
          <w:szCs w:val="24"/>
        </w:rPr>
        <w:t xml:space="preserve"> is found </w:t>
      </w:r>
      <w:hyperlink r:id="rId9" w:history="1">
        <w:r w:rsidRPr="001164B7">
          <w:rPr>
            <w:color w:val="0000FF"/>
            <w:sz w:val="24"/>
            <w:szCs w:val="24"/>
            <w:u w:val="single"/>
            <w:bdr w:val="none" w:sz="0" w:space="0" w:color="auto" w:frame="1"/>
          </w:rPr>
          <w:t>here</w:t>
        </w:r>
      </w:hyperlink>
      <w:r w:rsidRPr="001164B7">
        <w:rPr>
          <w:color w:val="0000FF"/>
          <w:sz w:val="24"/>
          <w:szCs w:val="24"/>
        </w:rPr>
        <w:t xml:space="preserve">. </w:t>
      </w:r>
    </w:p>
    <w:p w:rsidR="001164B7" w:rsidRPr="001164B7" w:rsidRDefault="001164B7" w:rsidP="001164B7">
      <w:pPr>
        <w:rPr>
          <w:color w:val="494949"/>
          <w:sz w:val="24"/>
          <w:szCs w:val="24"/>
        </w:rPr>
      </w:pPr>
    </w:p>
    <w:p w:rsidR="001164B7" w:rsidRDefault="001164B7" w:rsidP="001164B7">
      <w:pPr>
        <w:rPr>
          <w:sz w:val="24"/>
          <w:szCs w:val="24"/>
        </w:rPr>
      </w:pPr>
      <w:r w:rsidRPr="001164B7">
        <w:rPr>
          <w:sz w:val="24"/>
          <w:szCs w:val="24"/>
        </w:rPr>
        <w:t xml:space="preserve">However, the federal government placed a ‘freeze’ on new and pending regulations at the beginning of the new presidential administration by issuing </w:t>
      </w:r>
      <w:r w:rsidRPr="001164B7">
        <w:rPr>
          <w:color w:val="000000"/>
          <w:sz w:val="24"/>
          <w:szCs w:val="24"/>
          <w:shd w:val="clear" w:color="auto" w:fill="FFFFFF"/>
        </w:rPr>
        <w:t>a 60-day hold on rules that have been published in the Federal Register; the effective date yet to be determined.</w:t>
      </w:r>
      <w:r w:rsidRPr="001164B7">
        <w:rPr>
          <w:sz w:val="24"/>
          <w:szCs w:val="24"/>
        </w:rPr>
        <w:t xml:space="preserve"> When (or if) the status of the Common Rule effective date changes, the campus community will be updated on how these changes will affect research at UMBC.</w:t>
      </w:r>
    </w:p>
    <w:p w:rsidR="001164B7" w:rsidRPr="001164B7" w:rsidRDefault="001164B7" w:rsidP="001164B7">
      <w:pPr>
        <w:rPr>
          <w:sz w:val="24"/>
          <w:szCs w:val="24"/>
        </w:rPr>
      </w:pPr>
    </w:p>
    <w:p w:rsidR="001164B7" w:rsidRDefault="001164B7" w:rsidP="001164B7">
      <w:pPr>
        <w:rPr>
          <w:sz w:val="24"/>
          <w:szCs w:val="24"/>
        </w:rPr>
      </w:pPr>
      <w:r w:rsidRPr="001164B7">
        <w:rPr>
          <w:sz w:val="24"/>
          <w:szCs w:val="24"/>
        </w:rPr>
        <w:t xml:space="preserve">There have been no significant changes to the Common Rule in many years. These new rules are intended to strengthen human use </w:t>
      </w:r>
      <w:proofErr w:type="gramStart"/>
      <w:r w:rsidRPr="001164B7">
        <w:rPr>
          <w:sz w:val="24"/>
          <w:szCs w:val="24"/>
        </w:rPr>
        <w:t>subjects</w:t>
      </w:r>
      <w:proofErr w:type="gramEnd"/>
      <w:r w:rsidRPr="001164B7">
        <w:rPr>
          <w:sz w:val="24"/>
          <w:szCs w:val="24"/>
        </w:rPr>
        <w:t xml:space="preserve"> protections. Some of the changes that may affect our campus include:</w:t>
      </w:r>
    </w:p>
    <w:p w:rsidR="001164B7" w:rsidRPr="001164B7" w:rsidRDefault="001164B7" w:rsidP="001164B7">
      <w:pPr>
        <w:rPr>
          <w:sz w:val="24"/>
          <w:szCs w:val="24"/>
        </w:rPr>
      </w:pPr>
    </w:p>
    <w:p w:rsidR="001164B7" w:rsidRPr="001164B7" w:rsidRDefault="001164B7" w:rsidP="001164B7">
      <w:pPr>
        <w:numPr>
          <w:ilvl w:val="0"/>
          <w:numId w:val="5"/>
        </w:numPr>
        <w:spacing w:after="150"/>
        <w:ind w:left="675"/>
        <w:textAlignment w:val="baseline"/>
        <w:rPr>
          <w:sz w:val="24"/>
          <w:szCs w:val="24"/>
        </w:rPr>
      </w:pPr>
      <w:r w:rsidRPr="001164B7">
        <w:rPr>
          <w:sz w:val="24"/>
          <w:szCs w:val="24"/>
        </w:rPr>
        <w:t>Changes to the consent form process that provides subjects with a better understanding of the research.</w:t>
      </w:r>
    </w:p>
    <w:p w:rsidR="001164B7" w:rsidRPr="001164B7" w:rsidRDefault="001164B7" w:rsidP="001164B7">
      <w:pPr>
        <w:numPr>
          <w:ilvl w:val="0"/>
          <w:numId w:val="5"/>
        </w:numPr>
        <w:spacing w:after="150"/>
        <w:ind w:left="675"/>
        <w:textAlignment w:val="baseline"/>
        <w:rPr>
          <w:sz w:val="24"/>
          <w:szCs w:val="24"/>
        </w:rPr>
      </w:pPr>
      <w:r w:rsidRPr="001164B7">
        <w:rPr>
          <w:sz w:val="24"/>
          <w:szCs w:val="24"/>
        </w:rPr>
        <w:t>Requirement for a single IRB review for multisite studies.</w:t>
      </w:r>
    </w:p>
    <w:p w:rsidR="001164B7" w:rsidRPr="001164B7" w:rsidRDefault="001164B7" w:rsidP="001164B7">
      <w:pPr>
        <w:numPr>
          <w:ilvl w:val="0"/>
          <w:numId w:val="5"/>
        </w:numPr>
        <w:spacing w:after="150"/>
        <w:ind w:left="675"/>
        <w:textAlignment w:val="baseline"/>
        <w:rPr>
          <w:sz w:val="24"/>
          <w:szCs w:val="24"/>
        </w:rPr>
      </w:pPr>
      <w:r w:rsidRPr="001164B7">
        <w:rPr>
          <w:sz w:val="24"/>
          <w:szCs w:val="24"/>
        </w:rPr>
        <w:t>The establishment of new exempt categories of research based on the lev</w:t>
      </w:r>
      <w:bookmarkStart w:id="0" w:name="_GoBack"/>
      <w:bookmarkEnd w:id="0"/>
      <w:r w:rsidRPr="001164B7">
        <w:rPr>
          <w:sz w:val="24"/>
          <w:szCs w:val="24"/>
        </w:rPr>
        <w:t>el of risk.</w:t>
      </w:r>
    </w:p>
    <w:p w:rsidR="001164B7" w:rsidRDefault="001164B7" w:rsidP="001164B7">
      <w:pPr>
        <w:numPr>
          <w:ilvl w:val="0"/>
          <w:numId w:val="5"/>
        </w:numPr>
        <w:spacing w:after="150"/>
        <w:ind w:left="675"/>
        <w:textAlignment w:val="baseline"/>
        <w:rPr>
          <w:sz w:val="24"/>
          <w:szCs w:val="24"/>
        </w:rPr>
      </w:pPr>
      <w:r w:rsidRPr="001164B7">
        <w:rPr>
          <w:sz w:val="24"/>
          <w:szCs w:val="24"/>
        </w:rPr>
        <w:t>Removal of the requirement to conduct continuing review of ongoing research studies in certain instances where such review does little to protect subjects.</w:t>
      </w:r>
    </w:p>
    <w:p w:rsidR="001164B7" w:rsidRPr="001164B7" w:rsidRDefault="001164B7" w:rsidP="001164B7">
      <w:pPr>
        <w:spacing w:after="150"/>
        <w:ind w:left="675"/>
        <w:textAlignment w:val="baseline"/>
        <w:rPr>
          <w:sz w:val="24"/>
          <w:szCs w:val="24"/>
        </w:rPr>
      </w:pPr>
    </w:p>
    <w:p w:rsidR="00A70E02" w:rsidRPr="001164B7" w:rsidRDefault="001164B7" w:rsidP="001164B7">
      <w:pPr>
        <w:shd w:val="clear" w:color="auto" w:fill="FFFFFF"/>
        <w:spacing w:after="300"/>
        <w:textAlignment w:val="baseline"/>
        <w:rPr>
          <w:sz w:val="22"/>
          <w:szCs w:val="22"/>
        </w:rPr>
      </w:pPr>
      <w:r w:rsidRPr="001164B7">
        <w:rPr>
          <w:sz w:val="24"/>
          <w:szCs w:val="24"/>
        </w:rPr>
        <w:t xml:space="preserve">The Office of Research Protections and Compliance (ORPC) is closely following the status of the revisions to the Common Rule and hope to hear updates soon. We will inform our campus constituents and stakeholders once we have more definitive information with regard to status. The ORPC is also beginning to review current policies and practices with regard to any changes we may need to implement to meet the revision to the Final Rule. Until then, please stay tuned for updates on the ORPC’s </w:t>
      </w:r>
      <w:hyperlink r:id="rId10" w:history="1">
        <w:r w:rsidRPr="001164B7">
          <w:rPr>
            <w:rStyle w:val="Hyperlink"/>
            <w:color w:val="0000FF"/>
            <w:sz w:val="24"/>
            <w:szCs w:val="24"/>
          </w:rPr>
          <w:t>Institutional Review Board website</w:t>
        </w:r>
      </w:hyperlink>
      <w:r w:rsidRPr="001164B7">
        <w:rPr>
          <w:color w:val="494949"/>
          <w:sz w:val="24"/>
          <w:szCs w:val="24"/>
        </w:rPr>
        <w:t xml:space="preserve">. </w:t>
      </w:r>
      <w:r w:rsidRPr="001164B7">
        <w:rPr>
          <w:sz w:val="24"/>
          <w:szCs w:val="24"/>
        </w:rPr>
        <w:t xml:space="preserve">Also, feel free to contact us at </w:t>
      </w:r>
      <w:hyperlink r:id="rId11" w:history="1">
        <w:r w:rsidRPr="001164B7">
          <w:rPr>
            <w:rStyle w:val="Hyperlink"/>
            <w:color w:val="0000FF"/>
            <w:sz w:val="24"/>
            <w:szCs w:val="24"/>
          </w:rPr>
          <w:t>compliance@umbc.edu</w:t>
        </w:r>
      </w:hyperlink>
      <w:r w:rsidRPr="001164B7">
        <w:rPr>
          <w:color w:val="494949"/>
          <w:sz w:val="24"/>
          <w:szCs w:val="24"/>
        </w:rPr>
        <w:t xml:space="preserve"> </w:t>
      </w:r>
      <w:r w:rsidRPr="001164B7">
        <w:rPr>
          <w:sz w:val="24"/>
          <w:szCs w:val="24"/>
        </w:rPr>
        <w:t>if you have any further questions or concerns.</w:t>
      </w:r>
    </w:p>
    <w:sectPr w:rsidR="00A70E02" w:rsidRPr="001164B7" w:rsidSect="006B039C">
      <w:headerReference w:type="default" r:id="rId12"/>
      <w:pgSz w:w="12240" w:h="15840" w:code="1"/>
      <w:pgMar w:top="1656" w:right="450" w:bottom="1440" w:left="1800" w:header="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F9" w:rsidRDefault="00DB1AF9">
      <w:r>
        <w:separator/>
      </w:r>
    </w:p>
  </w:endnote>
  <w:endnote w:type="continuationSeparator" w:id="0">
    <w:p w:rsidR="00DB1AF9" w:rsidRDefault="00DB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F9" w:rsidRDefault="00DB1AF9">
      <w:r>
        <w:separator/>
      </w:r>
    </w:p>
  </w:footnote>
  <w:footnote w:type="continuationSeparator" w:id="0">
    <w:p w:rsidR="00DB1AF9" w:rsidRDefault="00DB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B7" w:rsidRDefault="001164B7" w:rsidP="001164B7">
    <w:pPr>
      <w:pStyle w:val="Header"/>
      <w:tabs>
        <w:tab w:val="clear" w:pos="8640"/>
        <w:tab w:val="right" w:pos="9180"/>
      </w:tabs>
      <w:jc w:val="right"/>
    </w:pPr>
  </w:p>
  <w:p w:rsidR="001164B7" w:rsidRDefault="001164B7" w:rsidP="001164B7">
    <w:pPr>
      <w:pStyle w:val="Header"/>
      <w:tabs>
        <w:tab w:val="clear" w:pos="8640"/>
        <w:tab w:val="right" w:pos="9180"/>
      </w:tabs>
      <w:jc w:val="right"/>
    </w:pPr>
  </w:p>
  <w:p w:rsidR="001164B7" w:rsidRDefault="001164B7" w:rsidP="001164B7">
    <w:pPr>
      <w:pStyle w:val="Header"/>
      <w:tabs>
        <w:tab w:val="clear" w:pos="8640"/>
        <w:tab w:val="right" w:pos="9180"/>
      </w:tabs>
      <w:jc w:val="right"/>
    </w:pPr>
    <w:r>
      <w:rPr>
        <w:noProof/>
      </w:rPr>
      <w:drawing>
        <wp:inline distT="0" distB="0" distL="0" distR="0" wp14:anchorId="26C6EBF8" wp14:editId="38574496">
          <wp:extent cx="3337560" cy="617220"/>
          <wp:effectExtent l="0" t="0" r="0" b="0"/>
          <wp:docPr id="5" name="Picture 5" descr="offse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set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560" cy="617220"/>
                  </a:xfrm>
                  <a:prstGeom prst="rect">
                    <a:avLst/>
                  </a:prstGeom>
                  <a:noFill/>
                  <a:ln>
                    <a:noFill/>
                  </a:ln>
                </pic:spPr>
              </pic:pic>
            </a:graphicData>
          </a:graphic>
        </wp:inline>
      </w:drawing>
    </w:r>
  </w:p>
  <w:p w:rsidR="001164B7" w:rsidRDefault="001164B7" w:rsidP="001164B7">
    <w:pPr>
      <w:pStyle w:val="Header"/>
      <w:jc w:val="right"/>
    </w:pPr>
  </w:p>
  <w:p w:rsidR="001164B7" w:rsidRDefault="001164B7" w:rsidP="001164B7">
    <w:pPr>
      <w:pStyle w:val="Heading1"/>
      <w:tabs>
        <w:tab w:val="left" w:pos="7290"/>
      </w:tabs>
      <w:ind w:left="7290"/>
    </w:pPr>
    <w:r>
      <w:t>Office of Research Protections and</w:t>
    </w:r>
  </w:p>
  <w:p w:rsidR="001164B7" w:rsidRDefault="001164B7" w:rsidP="001164B7">
    <w:pPr>
      <w:pStyle w:val="Heading1"/>
      <w:tabs>
        <w:tab w:val="left" w:pos="7290"/>
      </w:tabs>
      <w:ind w:left="7290"/>
    </w:pPr>
    <w:r>
      <w:t>Compliance</w:t>
    </w:r>
  </w:p>
  <w:p w:rsidR="001164B7" w:rsidRDefault="001164B7" w:rsidP="001164B7">
    <w:pPr>
      <w:tabs>
        <w:tab w:val="left" w:pos="7290"/>
      </w:tabs>
      <w:rPr>
        <w:rFonts w:ascii="Helvetica" w:hAnsi="Helvetica"/>
        <w:position w:val="8"/>
        <w:sz w:val="14"/>
      </w:rPr>
    </w:pPr>
    <w:r>
      <w:rPr>
        <w:rFonts w:ascii="Helvetica" w:hAnsi="Helvetica"/>
        <w:position w:val="8"/>
        <w:sz w:val="14"/>
      </w:rPr>
      <w:tab/>
      <w:t>University of Maryland, Baltimore County</w:t>
    </w:r>
  </w:p>
  <w:p w:rsidR="001164B7" w:rsidRDefault="001164B7" w:rsidP="001164B7">
    <w:pPr>
      <w:tabs>
        <w:tab w:val="left" w:pos="7290"/>
      </w:tabs>
      <w:rPr>
        <w:rFonts w:ascii="Helvetica" w:hAnsi="Helvetica"/>
        <w:position w:val="8"/>
        <w:sz w:val="14"/>
      </w:rPr>
    </w:pPr>
    <w:r>
      <w:rPr>
        <w:rFonts w:ascii="Helvetica" w:hAnsi="Helvetica"/>
        <w:position w:val="8"/>
        <w:sz w:val="14"/>
      </w:rPr>
      <w:tab/>
      <w:t>1000 Hilltop Circle</w:t>
    </w:r>
  </w:p>
  <w:p w:rsidR="001164B7" w:rsidRDefault="001164B7" w:rsidP="001164B7">
    <w:pPr>
      <w:tabs>
        <w:tab w:val="left" w:pos="7290"/>
      </w:tabs>
      <w:rPr>
        <w:rFonts w:ascii="Helvetica" w:hAnsi="Helvetica"/>
        <w:position w:val="8"/>
        <w:sz w:val="14"/>
      </w:rPr>
    </w:pPr>
    <w:r>
      <w:rPr>
        <w:rFonts w:ascii="Helvetica" w:hAnsi="Helvetica"/>
        <w:position w:val="8"/>
        <w:sz w:val="14"/>
      </w:rPr>
      <w:tab/>
      <w:t>Baltimore, MD 21250</w:t>
    </w:r>
  </w:p>
  <w:p w:rsidR="001164B7" w:rsidRPr="000E1292" w:rsidRDefault="001164B7" w:rsidP="001164B7">
    <w:pPr>
      <w:tabs>
        <w:tab w:val="left" w:pos="6300"/>
      </w:tabs>
      <w:ind w:hanging="8010"/>
      <w:rPr>
        <w:rFonts w:ascii="Helvetica" w:hAnsi="Helvetica"/>
        <w:position w:val="8"/>
        <w:sz w:val="14"/>
        <w:szCs w:val="14"/>
      </w:rPr>
    </w:pPr>
  </w:p>
  <w:p w:rsidR="001164B7" w:rsidRPr="000E1292" w:rsidRDefault="001164B7" w:rsidP="001164B7">
    <w:pPr>
      <w:tabs>
        <w:tab w:val="left" w:pos="7290"/>
      </w:tabs>
      <w:ind w:left="8010" w:hanging="8010"/>
      <w:rPr>
        <w:rFonts w:ascii="Helvetica" w:hAnsi="Helvetica"/>
        <w:position w:val="8"/>
        <w:sz w:val="14"/>
        <w:szCs w:val="14"/>
      </w:rPr>
    </w:pPr>
    <w:r w:rsidRPr="000E1292">
      <w:rPr>
        <w:rFonts w:ascii="Helvetica" w:hAnsi="Helvetica"/>
        <w:position w:val="8"/>
        <w:sz w:val="14"/>
        <w:szCs w:val="14"/>
      </w:rPr>
      <w:tab/>
      <w:t>PHONE: 410-455-2737</w:t>
    </w:r>
  </w:p>
  <w:p w:rsidR="001164B7" w:rsidRPr="001164B7" w:rsidRDefault="001164B7" w:rsidP="001164B7">
    <w:pPr>
      <w:tabs>
        <w:tab w:val="left" w:pos="7290"/>
      </w:tabs>
      <w:rPr>
        <w:rFonts w:ascii="Helvetica" w:hAnsi="Helvetica"/>
        <w:position w:val="8"/>
        <w:sz w:val="14"/>
        <w:szCs w:val="14"/>
      </w:rPr>
    </w:pPr>
    <w:r w:rsidRPr="000E1292">
      <w:rPr>
        <w:rFonts w:ascii="Helvetica" w:hAnsi="Helvetica"/>
        <w:position w:val="8"/>
        <w:sz w:val="14"/>
        <w:szCs w:val="14"/>
      </w:rPr>
      <w:tab/>
      <w:t xml:space="preserve">EMAIL:  </w:t>
    </w:r>
    <w:r>
      <w:rPr>
        <w:rFonts w:ascii="Helvetica" w:hAnsi="Helvetica"/>
        <w:position w:val="8"/>
        <w:sz w:val="14"/>
        <w:szCs w:val="14"/>
      </w:rPr>
      <w:t xml:space="preserve"> </w:t>
    </w:r>
    <w:hyperlink r:id="rId2" w:history="1">
      <w:r w:rsidRPr="000E1292">
        <w:rPr>
          <w:rStyle w:val="Hyperlink"/>
          <w:rFonts w:ascii="Helvetica" w:hAnsi="Helvetica"/>
          <w:position w:val="8"/>
          <w:sz w:val="14"/>
          <w:szCs w:val="14"/>
        </w:rPr>
        <w:t>compliance@umbc.edu</w:t>
      </w:r>
    </w:hyperlink>
    <w:r w:rsidRPr="000E1292">
      <w:rPr>
        <w:rFonts w:ascii="Helvetica" w:hAnsi="Helvetica"/>
        <w:position w:val="8"/>
        <w:sz w:val="14"/>
        <w:szCs w:val="14"/>
      </w:rPr>
      <w:t xml:space="preserve"> </w:t>
    </w:r>
    <w:r w:rsidRPr="000E1292">
      <w:rPr>
        <w:rFonts w:ascii="Helvetica" w:hAnsi="Helvetica"/>
        <w:position w:val="8"/>
        <w:sz w:val="14"/>
        <w:szCs w:val="14"/>
      </w:rPr>
      <w:tab/>
      <w:t>WEB:</w:t>
    </w:r>
    <w:r>
      <w:rPr>
        <w:rFonts w:ascii="Helvetica" w:hAnsi="Helvetica"/>
        <w:position w:val="8"/>
        <w:sz w:val="14"/>
        <w:szCs w:val="14"/>
      </w:rPr>
      <w:t xml:space="preserve"> </w:t>
    </w:r>
    <w:hyperlink r:id="rId3" w:history="1">
      <w:r w:rsidRPr="000E1292">
        <w:rPr>
          <w:rStyle w:val="Hyperlink"/>
          <w:rFonts w:ascii="Helvetica" w:hAnsi="Helvetica"/>
          <w:position w:val="8"/>
          <w:sz w:val="14"/>
          <w:szCs w:val="14"/>
        </w:rPr>
        <w:t>research.umbc.edu</w:t>
      </w:r>
    </w:hyperlink>
    <w:r w:rsidRPr="000E1292">
      <w:rPr>
        <w:rFonts w:ascii="Helvetica" w:hAnsi="Helvetica"/>
        <w:position w:val="8"/>
        <w:sz w:val="14"/>
        <w:szCs w:val="14"/>
      </w:rPr>
      <w:t xml:space="preserve"> </w:t>
    </w:r>
  </w:p>
  <w:p w:rsidR="006B039C" w:rsidRPr="005E5E7D" w:rsidRDefault="006B039C" w:rsidP="005E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BFC"/>
    <w:multiLevelType w:val="hybridMultilevel"/>
    <w:tmpl w:val="04FC8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9FC1D28"/>
    <w:multiLevelType w:val="multilevel"/>
    <w:tmpl w:val="8942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782B68"/>
    <w:multiLevelType w:val="hybridMultilevel"/>
    <w:tmpl w:val="C032B6B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34C35CFB"/>
    <w:multiLevelType w:val="hybridMultilevel"/>
    <w:tmpl w:val="9698E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A402AC"/>
    <w:multiLevelType w:val="hybridMultilevel"/>
    <w:tmpl w:val="3E581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defaultTabStop w:val="648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D4"/>
    <w:rsid w:val="00005950"/>
    <w:rsid w:val="000E1292"/>
    <w:rsid w:val="000F1D4C"/>
    <w:rsid w:val="001164B7"/>
    <w:rsid w:val="001B4E72"/>
    <w:rsid w:val="001E2C51"/>
    <w:rsid w:val="00213EA8"/>
    <w:rsid w:val="002265A0"/>
    <w:rsid w:val="002F30D1"/>
    <w:rsid w:val="00375ECA"/>
    <w:rsid w:val="00406233"/>
    <w:rsid w:val="0047591C"/>
    <w:rsid w:val="004C1532"/>
    <w:rsid w:val="005A3A1E"/>
    <w:rsid w:val="005E5E7D"/>
    <w:rsid w:val="00607C45"/>
    <w:rsid w:val="0064699B"/>
    <w:rsid w:val="006527DE"/>
    <w:rsid w:val="006611BB"/>
    <w:rsid w:val="0068483E"/>
    <w:rsid w:val="006B039C"/>
    <w:rsid w:val="0070644F"/>
    <w:rsid w:val="0077116C"/>
    <w:rsid w:val="00874A06"/>
    <w:rsid w:val="00876B86"/>
    <w:rsid w:val="0095718B"/>
    <w:rsid w:val="00993FF8"/>
    <w:rsid w:val="009B457C"/>
    <w:rsid w:val="00A00D7D"/>
    <w:rsid w:val="00A14DBB"/>
    <w:rsid w:val="00A70E02"/>
    <w:rsid w:val="00BC33C7"/>
    <w:rsid w:val="00BD017B"/>
    <w:rsid w:val="00BD7759"/>
    <w:rsid w:val="00BE6179"/>
    <w:rsid w:val="00C900BE"/>
    <w:rsid w:val="00CC0FEC"/>
    <w:rsid w:val="00DB1AF9"/>
    <w:rsid w:val="00DB3EF1"/>
    <w:rsid w:val="00E56E3D"/>
    <w:rsid w:val="00EF514B"/>
    <w:rsid w:val="00F315D4"/>
    <w:rsid w:val="00F83F10"/>
    <w:rsid w:val="00FE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A5351816-ACC4-402A-8E5C-BA25D6E0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Helvetica" w:eastAsia="Times" w:hAnsi="Helvetica"/>
      <w:b/>
      <w:position w:val="8"/>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unhideWhenUsed/>
    <w:rsid w:val="000E1292"/>
    <w:rPr>
      <w:color w:val="0563C1" w:themeColor="hyperlink"/>
      <w:u w:val="single"/>
    </w:rPr>
  </w:style>
  <w:style w:type="character" w:styleId="PlaceholderText">
    <w:name w:val="Placeholder Text"/>
    <w:basedOn w:val="DefaultParagraphFont"/>
    <w:uiPriority w:val="99"/>
    <w:unhideWhenUsed/>
    <w:rsid w:val="00BD017B"/>
    <w:rPr>
      <w:color w:val="808080"/>
    </w:rPr>
  </w:style>
  <w:style w:type="character" w:customStyle="1" w:styleId="apple-style-span">
    <w:name w:val="apple-style-span"/>
    <w:rsid w:val="0077116C"/>
  </w:style>
  <w:style w:type="paragraph" w:styleId="ListParagraph">
    <w:name w:val="List Paragraph"/>
    <w:basedOn w:val="Normal"/>
    <w:uiPriority w:val="34"/>
    <w:qFormat/>
    <w:rsid w:val="0095718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70E02"/>
    <w:rPr>
      <w:rFonts w:ascii="Tahoma" w:hAnsi="Tahoma" w:cs="Tahoma"/>
      <w:sz w:val="16"/>
      <w:szCs w:val="16"/>
    </w:rPr>
  </w:style>
  <w:style w:type="character" w:customStyle="1" w:styleId="BalloonTextChar">
    <w:name w:val="Balloon Text Char"/>
    <w:basedOn w:val="DefaultParagraphFont"/>
    <w:link w:val="BalloonText"/>
    <w:uiPriority w:val="99"/>
    <w:semiHidden/>
    <w:rsid w:val="00A70E02"/>
    <w:rPr>
      <w:rFonts w:ascii="Tahoma" w:hAnsi="Tahoma" w:cs="Tahoma"/>
      <w:sz w:val="16"/>
      <w:szCs w:val="16"/>
    </w:rPr>
  </w:style>
  <w:style w:type="character" w:styleId="FollowedHyperlink">
    <w:name w:val="FollowedHyperlink"/>
    <w:basedOn w:val="DefaultParagraphFont"/>
    <w:uiPriority w:val="99"/>
    <w:semiHidden/>
    <w:unhideWhenUsed/>
    <w:rsid w:val="00CC0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common-r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17/01/19/2017-01058/federal-policy-for-the-protection-of-human-subjec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umbc.edu" TargetMode="External"/><Relationship Id="rId5" Type="http://schemas.openxmlformats.org/officeDocument/2006/relationships/footnotes" Target="footnotes.xml"/><Relationship Id="rId10" Type="http://schemas.openxmlformats.org/officeDocument/2006/relationships/hyperlink" Target="http://research.umbc.edu/institutional-review-board-human-subjects/" TargetMode="External"/><Relationship Id="rId4" Type="http://schemas.openxmlformats.org/officeDocument/2006/relationships/webSettings" Target="webSettings.xml"/><Relationship Id="rId9" Type="http://schemas.openxmlformats.org/officeDocument/2006/relationships/hyperlink" Target="http://www.cogr.edu/sites/default/files/Summary%20of%20Changes%20to%20the%20Common%20Rule_COGR.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file:///C:\Users\sparklin\Downloads\research.umbc.edu" TargetMode="External"/><Relationship Id="rId2" Type="http://schemas.openxmlformats.org/officeDocument/2006/relationships/hyperlink" Target="mailto:compliance@umbc.edu"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V18LUGC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V18LUGC5</Template>
  <TotalTime>6</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UMBC Institutional Advancement</Company>
  <LinksUpToDate>false</LinksUpToDate>
  <CharactersWithSpaces>2614</CharactersWithSpaces>
  <SharedDoc>false</SharedDoc>
  <HLinks>
    <vt:vector size="6" baseType="variant">
      <vt:variant>
        <vt:i4>262266</vt:i4>
      </vt:variant>
      <vt:variant>
        <vt:i4>2063</vt:i4>
      </vt:variant>
      <vt:variant>
        <vt:i4>1025</vt:i4>
      </vt:variant>
      <vt:variant>
        <vt:i4>1</vt:i4>
      </vt:variant>
      <vt:variant>
        <vt:lpwstr>offsetred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Sommerville</dc:creator>
  <cp:keywords/>
  <dc:description/>
  <cp:lastModifiedBy>ORPC1</cp:lastModifiedBy>
  <cp:revision>3</cp:revision>
  <cp:lastPrinted>2002-10-11T15:40:00Z</cp:lastPrinted>
  <dcterms:created xsi:type="dcterms:W3CDTF">2017-06-23T16:23:00Z</dcterms:created>
  <dcterms:modified xsi:type="dcterms:W3CDTF">2017-06-23T16:29:00Z</dcterms:modified>
</cp:coreProperties>
</file>