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color w:val="ff0000"/>
        </w:rPr>
      </w:pPr>
      <w:r w:rsidDel="00000000" w:rsidR="00000000" w:rsidRPr="00000000">
        <w:rPr>
          <w:b w:val="1"/>
          <w:rtl w:val="0"/>
        </w:rPr>
        <w:t xml:space="preserve">Examples of work hours per assignment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Image series (8 pieces) / 30min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Take themselves, edit, and post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Interview of scholars (text/image-based) / 30min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Soliciting scholars to participate 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Email them questions 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Ask for complimenting visuals 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Editing the interview into an image-slide-post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Interview of a scholar (video-based) / 1hour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Soliciting scholars to participate 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Schedule date/time for interview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Film interview (A and B-roll)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Editing the interview into a cohesive video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Instagram Takeovers / 4-6h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Sophomores can sign up to lead an IG TakeOver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amount of content/contact hours determines how many hours are earned from this task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Structure/content/amount of hours agreed to must be coordinated/approved by Ann Davies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