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A06F5" w14:textId="77777777" w:rsidR="00261595" w:rsidRPr="00A8639A" w:rsidRDefault="009B7E70" w:rsidP="00261595">
      <w:pPr>
        <w:jc w:val="center"/>
        <w:rPr>
          <w:rFonts w:asciiTheme="minorHAnsi" w:hAnsiTheme="minorHAnsi"/>
          <w:b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2C4E0F" wp14:editId="75BB5FB3">
            <wp:simplePos x="0" y="0"/>
            <wp:positionH relativeFrom="column">
              <wp:posOffset>5344160</wp:posOffset>
            </wp:positionH>
            <wp:positionV relativeFrom="paragraph">
              <wp:posOffset>-24765</wp:posOffset>
            </wp:positionV>
            <wp:extent cx="704215" cy="704215"/>
            <wp:effectExtent l="0" t="0" r="0" b="0"/>
            <wp:wrapNone/>
            <wp:docPr id="1" name="Picture 1" descr="region2_us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2_us_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35675" wp14:editId="082886DF">
            <wp:simplePos x="0" y="0"/>
            <wp:positionH relativeFrom="column">
              <wp:posOffset>-123190</wp:posOffset>
            </wp:positionH>
            <wp:positionV relativeFrom="paragraph">
              <wp:posOffset>-24765</wp:posOffset>
            </wp:positionV>
            <wp:extent cx="704215" cy="704215"/>
            <wp:effectExtent l="0" t="0" r="0" b="0"/>
            <wp:wrapNone/>
            <wp:docPr id="3" name="Picture 3" descr="region2_us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2_us_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C">
        <w:rPr>
          <w:rFonts w:asciiTheme="minorHAnsi" w:hAnsiTheme="minorHAnsi"/>
          <w:b/>
          <w:sz w:val="27"/>
          <w:szCs w:val="27"/>
        </w:rPr>
        <w:t>Professional Development Workshops</w:t>
      </w:r>
    </w:p>
    <w:p w14:paraId="1759D8EC" w14:textId="77777777" w:rsidR="00261595" w:rsidRPr="00A8639A" w:rsidRDefault="00261595" w:rsidP="00261595">
      <w:pPr>
        <w:jc w:val="center"/>
        <w:rPr>
          <w:rFonts w:asciiTheme="minorHAnsi" w:hAnsiTheme="minorHAnsi"/>
          <w:b/>
          <w:sz w:val="27"/>
          <w:szCs w:val="27"/>
        </w:rPr>
      </w:pPr>
      <w:r w:rsidRPr="00A8639A">
        <w:rPr>
          <w:rFonts w:asciiTheme="minorHAnsi" w:hAnsiTheme="minorHAnsi"/>
          <w:b/>
          <w:sz w:val="27"/>
          <w:szCs w:val="27"/>
        </w:rPr>
        <w:t xml:space="preserve">Presented by Faculty from the </w:t>
      </w:r>
    </w:p>
    <w:p w14:paraId="6CE38935" w14:textId="77777777" w:rsidR="00261595" w:rsidRPr="00A8639A" w:rsidRDefault="00261595" w:rsidP="00261595">
      <w:pPr>
        <w:jc w:val="center"/>
        <w:rPr>
          <w:rFonts w:asciiTheme="minorHAnsi" w:hAnsiTheme="minorHAnsi"/>
          <w:b/>
          <w:sz w:val="27"/>
          <w:szCs w:val="27"/>
        </w:rPr>
      </w:pPr>
      <w:r w:rsidRPr="00A8639A">
        <w:rPr>
          <w:rFonts w:asciiTheme="minorHAnsi" w:hAnsiTheme="minorHAnsi"/>
          <w:b/>
          <w:sz w:val="27"/>
          <w:szCs w:val="27"/>
        </w:rPr>
        <w:t>Mid-Atlantic Region of the</w:t>
      </w:r>
    </w:p>
    <w:p w14:paraId="7013AE49" w14:textId="77777777" w:rsidR="00261595" w:rsidRPr="00A8639A" w:rsidRDefault="00261595" w:rsidP="00261595">
      <w:pPr>
        <w:jc w:val="center"/>
        <w:rPr>
          <w:rFonts w:asciiTheme="minorHAnsi" w:hAnsiTheme="minorHAnsi"/>
          <w:b/>
          <w:sz w:val="27"/>
          <w:szCs w:val="27"/>
        </w:rPr>
      </w:pPr>
      <w:r w:rsidRPr="00A8639A">
        <w:rPr>
          <w:rFonts w:asciiTheme="minorHAnsi" w:hAnsiTheme="minorHAnsi"/>
          <w:b/>
          <w:sz w:val="27"/>
          <w:szCs w:val="27"/>
        </w:rPr>
        <w:t>National Council of University Research Administrators</w:t>
      </w:r>
    </w:p>
    <w:p w14:paraId="3E12266C" w14:textId="77777777" w:rsidR="00261595" w:rsidRPr="00A8639A" w:rsidRDefault="00261595" w:rsidP="00D946CF">
      <w:pPr>
        <w:jc w:val="center"/>
        <w:rPr>
          <w:rFonts w:asciiTheme="minorHAnsi" w:hAnsiTheme="minorHAnsi"/>
          <w:b/>
          <w:sz w:val="27"/>
          <w:szCs w:val="27"/>
        </w:rPr>
      </w:pPr>
    </w:p>
    <w:p w14:paraId="5958D978" w14:textId="77777777" w:rsidR="00980062" w:rsidRPr="00980062" w:rsidRDefault="00980062" w:rsidP="00980062">
      <w:pPr>
        <w:tabs>
          <w:tab w:val="left" w:pos="1440"/>
        </w:tabs>
        <w:jc w:val="center"/>
        <w:rPr>
          <w:rFonts w:ascii="Times New Roman" w:hAnsi="Times New Roman"/>
          <w:b/>
          <w:color w:val="C00000"/>
          <w:sz w:val="32"/>
          <w:szCs w:val="32"/>
          <w:u w:val="single"/>
        </w:rPr>
      </w:pPr>
      <w:r w:rsidRPr="00980062">
        <w:rPr>
          <w:rFonts w:ascii="Times New Roman" w:hAnsi="Times New Roman"/>
          <w:b/>
          <w:color w:val="C00000"/>
          <w:sz w:val="32"/>
          <w:szCs w:val="32"/>
          <w:u w:val="single"/>
        </w:rPr>
        <w:t>Uniform Guidance – It’s Here, It’s Now</w:t>
      </w:r>
    </w:p>
    <w:p w14:paraId="409BC170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14:paraId="3258AE4B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Description</w:t>
      </w:r>
      <w:r>
        <w:rPr>
          <w:rFonts w:ascii="Times New Roman" w:hAnsi="Times New Roman"/>
          <w:sz w:val="24"/>
          <w:szCs w:val="24"/>
        </w:rPr>
        <w:t>:</w:t>
      </w:r>
    </w:p>
    <w:p w14:paraId="0F234D77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14:paraId="585F7604" w14:textId="77777777" w:rsidR="00980062" w:rsidRPr="00E364A8" w:rsidRDefault="00980062" w:rsidP="00980062">
      <w:pPr>
        <w:rPr>
          <w:rFonts w:ascii="Times New Roman" w:hAnsi="Times New Roman"/>
          <w:color w:val="000000"/>
          <w:sz w:val="24"/>
          <w:szCs w:val="24"/>
        </w:rPr>
      </w:pPr>
      <w:r w:rsidRPr="00E364A8">
        <w:rPr>
          <w:rFonts w:ascii="Times New Roman" w:hAnsi="Times New Roman"/>
          <w:color w:val="000000"/>
          <w:sz w:val="24"/>
          <w:szCs w:val="24"/>
        </w:rPr>
        <w:t>To deliver on the promise of a 21st-Century government that is more efficient, effective and transparent, the Office o</w:t>
      </w:r>
      <w:r>
        <w:rPr>
          <w:rFonts w:ascii="Times New Roman" w:hAnsi="Times New Roman"/>
          <w:color w:val="000000"/>
          <w:sz w:val="24"/>
          <w:szCs w:val="24"/>
        </w:rPr>
        <w:t xml:space="preserve">f Management and Budget (OMB) has streamlined </w:t>
      </w:r>
      <w:r w:rsidRPr="00E364A8">
        <w:rPr>
          <w:rFonts w:ascii="Times New Roman" w:hAnsi="Times New Roman"/>
          <w:color w:val="000000"/>
          <w:sz w:val="24"/>
          <w:szCs w:val="24"/>
        </w:rPr>
        <w:t>the Federal government’s guidance on Administrative Requirements, Cost Principles, and Audit Requirements for Federal awards.</w:t>
      </w:r>
      <w:r>
        <w:rPr>
          <w:rFonts w:ascii="Times New Roman" w:hAnsi="Times New Roman"/>
          <w:color w:val="000000"/>
          <w:sz w:val="24"/>
          <w:szCs w:val="24"/>
        </w:rPr>
        <w:t xml:space="preserve">  This streamlining initiative is called the Uniform Guidance and was released on December 26, 2013.</w:t>
      </w:r>
    </w:p>
    <w:p w14:paraId="613F6299" w14:textId="77777777" w:rsidR="00980062" w:rsidRDefault="00980062" w:rsidP="00980062">
      <w:pPr>
        <w:rPr>
          <w:rFonts w:ascii="Times New Roman" w:hAnsi="Times New Roman"/>
          <w:color w:val="000000"/>
          <w:sz w:val="24"/>
          <w:szCs w:val="24"/>
        </w:rPr>
      </w:pPr>
    </w:p>
    <w:p w14:paraId="57B67E0B" w14:textId="77777777" w:rsidR="00980062" w:rsidRDefault="00980062" w:rsidP="0098006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December of 2014, the joint interim final rule was released, implementing</w:t>
      </w:r>
      <w:r w:rsidRPr="00E364A8">
        <w:rPr>
          <w:rFonts w:ascii="Times New Roman" w:hAnsi="Times New Roman"/>
          <w:color w:val="000000"/>
          <w:sz w:val="24"/>
          <w:szCs w:val="24"/>
        </w:rPr>
        <w:t xml:space="preserve"> for all Federal award-mak</w:t>
      </w:r>
      <w:r>
        <w:rPr>
          <w:rFonts w:ascii="Times New Roman" w:hAnsi="Times New Roman"/>
          <w:color w:val="000000"/>
          <w:sz w:val="24"/>
          <w:szCs w:val="24"/>
        </w:rPr>
        <w:t>ing agencies the Uniform Guidance.</w:t>
      </w:r>
      <w:r w:rsidRPr="00E364A8">
        <w:rPr>
          <w:rFonts w:ascii="Times New Roman" w:hAnsi="Times New Roman"/>
          <w:color w:val="000000"/>
          <w:sz w:val="24"/>
          <w:szCs w:val="24"/>
        </w:rPr>
        <w:t xml:space="preserve"> This rule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64A8">
        <w:rPr>
          <w:rFonts w:ascii="Times New Roman" w:hAnsi="Times New Roman"/>
          <w:color w:val="000000"/>
          <w:sz w:val="24"/>
          <w:szCs w:val="24"/>
        </w:rPr>
        <w:t>is necessa</w:t>
      </w:r>
      <w:r>
        <w:rPr>
          <w:rFonts w:ascii="Times New Roman" w:hAnsi="Times New Roman"/>
          <w:color w:val="000000"/>
          <w:sz w:val="24"/>
          <w:szCs w:val="24"/>
        </w:rPr>
        <w:t xml:space="preserve">ry in order to incorporate into </w:t>
      </w:r>
      <w:r w:rsidRPr="00E364A8">
        <w:rPr>
          <w:rFonts w:ascii="Times New Roman" w:hAnsi="Times New Roman"/>
          <w:color w:val="000000"/>
          <w:sz w:val="24"/>
          <w:szCs w:val="24"/>
        </w:rPr>
        <w:t>regulation and thus bring into effect the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64A8">
        <w:rPr>
          <w:rFonts w:ascii="Times New Roman" w:hAnsi="Times New Roman"/>
          <w:color w:val="000000"/>
          <w:sz w:val="24"/>
          <w:szCs w:val="24"/>
        </w:rPr>
        <w:t>Uniform Guidance as required by OMB.</w:t>
      </w:r>
    </w:p>
    <w:p w14:paraId="0F0E4C82" w14:textId="77777777" w:rsidR="00980062" w:rsidRPr="00126EBA" w:rsidRDefault="00980062" w:rsidP="00980062">
      <w:pPr>
        <w:rPr>
          <w:rFonts w:ascii="Times New Roman" w:hAnsi="Times New Roman"/>
          <w:color w:val="000000"/>
          <w:sz w:val="24"/>
          <w:szCs w:val="24"/>
        </w:rPr>
      </w:pPr>
    </w:p>
    <w:p w14:paraId="3299C8E8" w14:textId="77777777" w:rsidR="00980062" w:rsidRPr="00126EBA" w:rsidRDefault="00980062" w:rsidP="00980062">
      <w:pPr>
        <w:rPr>
          <w:rFonts w:ascii="Times New Roman" w:hAnsi="Times New Roman"/>
          <w:color w:val="000000"/>
          <w:sz w:val="24"/>
          <w:szCs w:val="24"/>
        </w:rPr>
      </w:pPr>
      <w:r w:rsidRPr="00126EBA">
        <w:rPr>
          <w:rFonts w:ascii="Times New Roman" w:hAnsi="Times New Roman"/>
          <w:color w:val="000000"/>
          <w:sz w:val="24"/>
          <w:szCs w:val="24"/>
        </w:rPr>
        <w:t xml:space="preserve">The release of </w:t>
      </w:r>
      <w:r>
        <w:rPr>
          <w:rFonts w:ascii="Times New Roman" w:hAnsi="Times New Roman"/>
          <w:color w:val="000000"/>
          <w:sz w:val="24"/>
          <w:szCs w:val="24"/>
        </w:rPr>
        <w:t>the Uniform Guidance and agency implementations</w:t>
      </w:r>
      <w:r w:rsidRPr="00126EBA">
        <w:rPr>
          <w:rFonts w:ascii="Times New Roman" w:hAnsi="Times New Roman"/>
          <w:color w:val="000000"/>
          <w:sz w:val="24"/>
          <w:szCs w:val="24"/>
        </w:rPr>
        <w:t xml:space="preserve"> impact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126EBA">
        <w:rPr>
          <w:rFonts w:ascii="Times New Roman" w:hAnsi="Times New Roman"/>
          <w:color w:val="000000"/>
          <w:sz w:val="24"/>
          <w:szCs w:val="24"/>
        </w:rPr>
        <w:t xml:space="preserve"> existing institutional policies, federal sponsor guidelines, and the terms and conditions expressed in federal awards. This workshop is </w:t>
      </w:r>
      <w:r w:rsidRPr="00126EBA">
        <w:rPr>
          <w:rFonts w:ascii="Times New Roman" w:hAnsi="Times New Roman"/>
          <w:color w:val="000000"/>
          <w:sz w:val="24"/>
          <w:szCs w:val="24"/>
        </w:rPr>
        <w:lastRenderedPageBreak/>
        <w:t xml:space="preserve">designed to provide attendees important information on the changes </w:t>
      </w:r>
      <w:r>
        <w:rPr>
          <w:rFonts w:ascii="Times New Roman" w:hAnsi="Times New Roman"/>
          <w:color w:val="000000"/>
          <w:sz w:val="24"/>
          <w:szCs w:val="24"/>
        </w:rPr>
        <w:t>incorporated in the Uniform Guidance</w:t>
      </w:r>
      <w:r w:rsidRPr="00126EBA">
        <w:rPr>
          <w:rFonts w:ascii="Times New Roman" w:hAnsi="Times New Roman"/>
          <w:color w:val="000000"/>
          <w:sz w:val="24"/>
          <w:szCs w:val="24"/>
        </w:rPr>
        <w:t xml:space="preserve">, how these changes impact research administration policies and procedures, and familiarize them with the </w:t>
      </w:r>
      <w:r>
        <w:rPr>
          <w:rFonts w:ascii="Times New Roman" w:hAnsi="Times New Roman"/>
          <w:color w:val="000000"/>
          <w:sz w:val="24"/>
          <w:szCs w:val="24"/>
        </w:rPr>
        <w:t>Uniform Guidance and agency implementations</w:t>
      </w:r>
      <w:r w:rsidRPr="00126EBA">
        <w:rPr>
          <w:rFonts w:ascii="Times New Roman" w:hAnsi="Times New Roman"/>
          <w:color w:val="000000"/>
          <w:sz w:val="24"/>
          <w:szCs w:val="24"/>
        </w:rPr>
        <w:t>.</w:t>
      </w:r>
    </w:p>
    <w:p w14:paraId="50BD302A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14:paraId="04EDAAD4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Learning Objectives</w:t>
      </w:r>
    </w:p>
    <w:p w14:paraId="2CBF4C40" w14:textId="77777777" w:rsidR="00980062" w:rsidRPr="00126EBA" w:rsidRDefault="00980062" w:rsidP="00980062">
      <w:pPr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126EBA">
        <w:rPr>
          <w:rFonts w:ascii="Times New Roman" w:hAnsi="Times New Roman"/>
          <w:color w:val="000000"/>
          <w:sz w:val="24"/>
          <w:szCs w:val="24"/>
        </w:rPr>
        <w:t xml:space="preserve">Provide an overview of the </w:t>
      </w:r>
      <w:r>
        <w:rPr>
          <w:rFonts w:ascii="Times New Roman" w:hAnsi="Times New Roman"/>
          <w:color w:val="000000"/>
          <w:sz w:val="24"/>
          <w:szCs w:val="24"/>
        </w:rPr>
        <w:t>Uniform Guidance</w:t>
      </w:r>
      <w:r w:rsidRPr="00126EBA">
        <w:rPr>
          <w:rFonts w:ascii="Times New Roman" w:hAnsi="Times New Roman"/>
          <w:color w:val="000000"/>
          <w:sz w:val="24"/>
          <w:szCs w:val="24"/>
        </w:rPr>
        <w:t>;</w:t>
      </w:r>
    </w:p>
    <w:p w14:paraId="41DD06CC" w14:textId="77777777" w:rsidR="00980062" w:rsidRPr="00126EBA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126EBA">
        <w:rPr>
          <w:rFonts w:ascii="Times New Roman" w:hAnsi="Times New Roman"/>
          <w:color w:val="000000"/>
          <w:sz w:val="24"/>
          <w:szCs w:val="24"/>
        </w:rPr>
        <w:t>Provide a hands on walk through approach to understanding the structure of the Unifor</w:t>
      </w:r>
      <w:r>
        <w:rPr>
          <w:rFonts w:ascii="Times New Roman" w:hAnsi="Times New Roman"/>
          <w:color w:val="000000"/>
          <w:sz w:val="24"/>
          <w:szCs w:val="24"/>
        </w:rPr>
        <w:t>m Guidance</w:t>
      </w:r>
      <w:r w:rsidRPr="00126EBA">
        <w:rPr>
          <w:rFonts w:ascii="Times New Roman" w:hAnsi="Times New Roman"/>
          <w:color w:val="000000"/>
          <w:sz w:val="24"/>
          <w:szCs w:val="24"/>
        </w:rPr>
        <w:t>;</w:t>
      </w:r>
    </w:p>
    <w:p w14:paraId="575A87E4" w14:textId="77777777" w:rsidR="00980062" w:rsidRPr="00126EBA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126EBA">
        <w:rPr>
          <w:rFonts w:ascii="Times New Roman" w:hAnsi="Times New Roman"/>
          <w:color w:val="000000"/>
          <w:sz w:val="24"/>
          <w:szCs w:val="24"/>
        </w:rPr>
        <w:t xml:space="preserve">Review </w:t>
      </w:r>
      <w:r>
        <w:rPr>
          <w:rFonts w:ascii="Times New Roman" w:hAnsi="Times New Roman"/>
          <w:color w:val="000000"/>
          <w:sz w:val="24"/>
          <w:szCs w:val="24"/>
        </w:rPr>
        <w:t>agency</w:t>
      </w:r>
      <w:r w:rsidRPr="00126EBA">
        <w:rPr>
          <w:rFonts w:ascii="Times New Roman" w:hAnsi="Times New Roman"/>
          <w:color w:val="000000"/>
          <w:sz w:val="24"/>
          <w:szCs w:val="24"/>
        </w:rPr>
        <w:t xml:space="preserve"> implementation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126EBA">
        <w:rPr>
          <w:rFonts w:ascii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/>
          <w:color w:val="000000"/>
          <w:sz w:val="24"/>
          <w:szCs w:val="24"/>
        </w:rPr>
        <w:t xml:space="preserve">impacts; </w:t>
      </w:r>
    </w:p>
    <w:p w14:paraId="471C101E" w14:textId="77777777" w:rsidR="00980062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126EBA">
        <w:rPr>
          <w:rFonts w:ascii="Times New Roman" w:hAnsi="Times New Roman"/>
          <w:color w:val="000000"/>
          <w:sz w:val="24"/>
          <w:szCs w:val="24"/>
        </w:rPr>
        <w:t xml:space="preserve">Highlight and discuss the major </w:t>
      </w:r>
      <w:r>
        <w:rPr>
          <w:rFonts w:ascii="Times New Roman" w:hAnsi="Times New Roman"/>
          <w:color w:val="000000"/>
          <w:sz w:val="24"/>
          <w:szCs w:val="24"/>
        </w:rPr>
        <w:t>impacts on the recipient community;</w:t>
      </w:r>
    </w:p>
    <w:p w14:paraId="1AA32405" w14:textId="77777777" w:rsidR="00980062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Share recipient implementation strategies;</w:t>
      </w:r>
    </w:p>
    <w:p w14:paraId="7FA9947A" w14:textId="77777777" w:rsidR="00980062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Explore real life case scenarios related to the Uniform Guidance;</w:t>
      </w:r>
    </w:p>
    <w:p w14:paraId="27B20329" w14:textId="77777777" w:rsidR="00980062" w:rsidRPr="00126EBA" w:rsidRDefault="00980062" w:rsidP="0098006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Exchange implementation tools and training materials.</w:t>
      </w:r>
    </w:p>
    <w:p w14:paraId="732FF2AA" w14:textId="77777777" w:rsidR="00980062" w:rsidRPr="00126EBA" w:rsidRDefault="00980062" w:rsidP="00980062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Prerequisites: </w:t>
      </w:r>
      <w:r>
        <w:rPr>
          <w:rFonts w:ascii="Times New Roman" w:hAnsi="Times New Roman"/>
          <w:sz w:val="24"/>
          <w:szCs w:val="24"/>
        </w:rPr>
        <w:t xml:space="preserve">Knowledge of proposal development, allowability criteria of sponsored programs and administrative requirements for post award management </w:t>
      </w:r>
    </w:p>
    <w:p w14:paraId="117D5B7F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14:paraId="112BD4CE" w14:textId="77777777" w:rsidR="00980062" w:rsidRDefault="00980062" w:rsidP="009800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Who Should Attend:</w:t>
      </w:r>
    </w:p>
    <w:p w14:paraId="598FA91E" w14:textId="77777777" w:rsidR="00980062" w:rsidRDefault="00980062" w:rsidP="00980062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Departmental Research Administrators</w:t>
      </w:r>
    </w:p>
    <w:p w14:paraId="7757CC45" w14:textId="77777777" w:rsidR="00980062" w:rsidRDefault="00980062" w:rsidP="00980062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Office Research Administrators</w:t>
      </w:r>
    </w:p>
    <w:p w14:paraId="7E44743D" w14:textId="77777777" w:rsidR="00D02666" w:rsidRPr="00980062" w:rsidRDefault="00980062" w:rsidP="00980062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Procurement Services</w:t>
      </w:r>
    </w:p>
    <w:sectPr w:rsidR="00D02666" w:rsidRPr="00980062" w:rsidSect="00A8639A">
      <w:headerReference w:type="default" r:id="rId8"/>
      <w:pgSz w:w="12240" w:h="15840"/>
      <w:pgMar w:top="1260" w:right="1440" w:bottom="117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A238A" w14:textId="77777777" w:rsidR="00F57A95" w:rsidRDefault="00F57A95" w:rsidP="00422EFB">
      <w:r>
        <w:separator/>
      </w:r>
    </w:p>
  </w:endnote>
  <w:endnote w:type="continuationSeparator" w:id="0">
    <w:p w14:paraId="76264CDB" w14:textId="77777777" w:rsidR="00F57A95" w:rsidRDefault="00F57A95" w:rsidP="0042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89FF3" w14:textId="77777777" w:rsidR="00F57A95" w:rsidRDefault="00F57A95" w:rsidP="00422EFB">
      <w:r>
        <w:separator/>
      </w:r>
    </w:p>
  </w:footnote>
  <w:footnote w:type="continuationSeparator" w:id="0">
    <w:p w14:paraId="1172A5C6" w14:textId="77777777" w:rsidR="00F57A95" w:rsidRDefault="00F57A95" w:rsidP="00422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E97C4" w14:textId="77777777" w:rsidR="008708FD" w:rsidRDefault="008708FD" w:rsidP="008708FD">
    <w:pPr>
      <w:pStyle w:val="Header"/>
      <w:rPr>
        <w:b/>
        <w:noProof/>
        <w:color w:val="FF0000"/>
      </w:rPr>
    </w:pPr>
    <w:r>
      <w:rPr>
        <w:b/>
        <w:color w:val="FF0000"/>
      </w:rPr>
      <w:ptab w:relativeTo="margin" w:alignment="left" w:leader="none"/>
    </w:r>
    <w:r>
      <w:rPr>
        <w:b/>
        <w:color w:val="FF0000"/>
      </w:rPr>
      <w:ptab w:relativeTo="indent" w:alignment="left" w:leader="none"/>
    </w:r>
    <w:r>
      <w:rPr>
        <w:b/>
        <w:noProof/>
        <w:color w:val="FF0000"/>
      </w:rPr>
      <w:ptab w:relativeTo="margin" w:alignment="left" w:leader="none"/>
    </w:r>
    <w:r w:rsidR="009B7E70">
      <w:rPr>
        <w:b/>
        <w:noProof/>
        <w:color w:val="FF0000"/>
      </w:rPr>
      <w:drawing>
        <wp:inline distT="0" distB="0" distL="0" distR="0" wp14:anchorId="2E137EA1" wp14:editId="3CEDA295">
          <wp:extent cx="5753100" cy="657225"/>
          <wp:effectExtent l="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11AF0" w14:textId="77777777" w:rsidR="00A8639A" w:rsidRPr="00A8639A" w:rsidRDefault="008708FD" w:rsidP="008708FD">
    <w:pPr>
      <w:pStyle w:val="Header"/>
      <w:rPr>
        <w:b/>
        <w:color w:val="FF0000"/>
      </w:rPr>
    </w:pPr>
    <w:r>
      <w:rPr>
        <w:b/>
        <w:noProof/>
        <w:color w:val="FF0000"/>
      </w:rPr>
      <w:tab/>
    </w:r>
    <w:r>
      <w:rPr>
        <w:b/>
        <w:noProof/>
        <w:color w:val="FF0000"/>
      </w:rPr>
      <w:tab/>
    </w:r>
  </w:p>
  <w:p w14:paraId="68132FC5" w14:textId="77777777" w:rsidR="00422EFB" w:rsidRDefault="00422E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0F20"/>
    <w:multiLevelType w:val="hybridMultilevel"/>
    <w:tmpl w:val="D9820B70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21D"/>
    <w:multiLevelType w:val="hybridMultilevel"/>
    <w:tmpl w:val="6764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65A9"/>
    <w:multiLevelType w:val="multilevel"/>
    <w:tmpl w:val="B9E4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5F12"/>
    <w:multiLevelType w:val="hybridMultilevel"/>
    <w:tmpl w:val="2056FB36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4808"/>
    <w:multiLevelType w:val="hybridMultilevel"/>
    <w:tmpl w:val="44C21920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726D"/>
    <w:multiLevelType w:val="hybridMultilevel"/>
    <w:tmpl w:val="70CA56DC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814"/>
    <w:multiLevelType w:val="hybridMultilevel"/>
    <w:tmpl w:val="AF7820A6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026A9"/>
    <w:multiLevelType w:val="hybridMultilevel"/>
    <w:tmpl w:val="D9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20C0"/>
    <w:multiLevelType w:val="hybridMultilevel"/>
    <w:tmpl w:val="3AFC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B6E51"/>
    <w:multiLevelType w:val="hybridMultilevel"/>
    <w:tmpl w:val="EC22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1534F"/>
    <w:multiLevelType w:val="hybridMultilevel"/>
    <w:tmpl w:val="96A607FC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3A8"/>
    <w:multiLevelType w:val="hybridMultilevel"/>
    <w:tmpl w:val="1C00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80D2A"/>
    <w:multiLevelType w:val="hybridMultilevel"/>
    <w:tmpl w:val="6164D2DE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4EA0"/>
    <w:multiLevelType w:val="hybridMultilevel"/>
    <w:tmpl w:val="119E4E66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500E7"/>
    <w:multiLevelType w:val="hybridMultilevel"/>
    <w:tmpl w:val="A552E52A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625DC"/>
    <w:multiLevelType w:val="hybridMultilevel"/>
    <w:tmpl w:val="69EABB4A"/>
    <w:lvl w:ilvl="0" w:tplc="A7F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5B"/>
    <w:rsid w:val="00013F18"/>
    <w:rsid w:val="000517BC"/>
    <w:rsid w:val="000716BF"/>
    <w:rsid w:val="000D074C"/>
    <w:rsid w:val="00103C5C"/>
    <w:rsid w:val="00126EBA"/>
    <w:rsid w:val="00141718"/>
    <w:rsid w:val="001B501A"/>
    <w:rsid w:val="001B7B5D"/>
    <w:rsid w:val="001D5206"/>
    <w:rsid w:val="00200428"/>
    <w:rsid w:val="0023095E"/>
    <w:rsid w:val="0023776E"/>
    <w:rsid w:val="00240B57"/>
    <w:rsid w:val="00261595"/>
    <w:rsid w:val="00265224"/>
    <w:rsid w:val="002834A6"/>
    <w:rsid w:val="002E5A9C"/>
    <w:rsid w:val="003121D7"/>
    <w:rsid w:val="00337ABC"/>
    <w:rsid w:val="00392267"/>
    <w:rsid w:val="003B24D9"/>
    <w:rsid w:val="003C3F47"/>
    <w:rsid w:val="00422EFB"/>
    <w:rsid w:val="004A3856"/>
    <w:rsid w:val="004B37AC"/>
    <w:rsid w:val="00553435"/>
    <w:rsid w:val="005658CC"/>
    <w:rsid w:val="005C4AB6"/>
    <w:rsid w:val="005E4A15"/>
    <w:rsid w:val="005E628B"/>
    <w:rsid w:val="00602342"/>
    <w:rsid w:val="006219F5"/>
    <w:rsid w:val="006255F5"/>
    <w:rsid w:val="0064173A"/>
    <w:rsid w:val="006543C6"/>
    <w:rsid w:val="00662738"/>
    <w:rsid w:val="00684AD7"/>
    <w:rsid w:val="006A1326"/>
    <w:rsid w:val="00704A7F"/>
    <w:rsid w:val="0071174F"/>
    <w:rsid w:val="00741F5A"/>
    <w:rsid w:val="007670B0"/>
    <w:rsid w:val="00767BAE"/>
    <w:rsid w:val="00786843"/>
    <w:rsid w:val="00791868"/>
    <w:rsid w:val="007A0D3D"/>
    <w:rsid w:val="007A1AFB"/>
    <w:rsid w:val="007D7088"/>
    <w:rsid w:val="00817B94"/>
    <w:rsid w:val="008653C1"/>
    <w:rsid w:val="008708FD"/>
    <w:rsid w:val="00885BCF"/>
    <w:rsid w:val="008B68FB"/>
    <w:rsid w:val="008E14C8"/>
    <w:rsid w:val="008E7024"/>
    <w:rsid w:val="00973100"/>
    <w:rsid w:val="00980062"/>
    <w:rsid w:val="009A208E"/>
    <w:rsid w:val="009B7E70"/>
    <w:rsid w:val="009E0870"/>
    <w:rsid w:val="00A63081"/>
    <w:rsid w:val="00A72BCE"/>
    <w:rsid w:val="00A8639A"/>
    <w:rsid w:val="00A8733A"/>
    <w:rsid w:val="00AD491B"/>
    <w:rsid w:val="00AD641D"/>
    <w:rsid w:val="00B17105"/>
    <w:rsid w:val="00B46560"/>
    <w:rsid w:val="00B637D9"/>
    <w:rsid w:val="00B6412D"/>
    <w:rsid w:val="00B663F8"/>
    <w:rsid w:val="00B77CB6"/>
    <w:rsid w:val="00B81D36"/>
    <w:rsid w:val="00B91535"/>
    <w:rsid w:val="00B9178E"/>
    <w:rsid w:val="00BB5D5B"/>
    <w:rsid w:val="00BC46C0"/>
    <w:rsid w:val="00BD0AC2"/>
    <w:rsid w:val="00BE720C"/>
    <w:rsid w:val="00C04702"/>
    <w:rsid w:val="00C33B5B"/>
    <w:rsid w:val="00C56576"/>
    <w:rsid w:val="00C87323"/>
    <w:rsid w:val="00C96B6A"/>
    <w:rsid w:val="00CB628C"/>
    <w:rsid w:val="00CE2F9D"/>
    <w:rsid w:val="00D02666"/>
    <w:rsid w:val="00D048F1"/>
    <w:rsid w:val="00D946CF"/>
    <w:rsid w:val="00DC7CC4"/>
    <w:rsid w:val="00DE53CC"/>
    <w:rsid w:val="00E0007D"/>
    <w:rsid w:val="00EA49C3"/>
    <w:rsid w:val="00EB1993"/>
    <w:rsid w:val="00EC4509"/>
    <w:rsid w:val="00EF0BD6"/>
    <w:rsid w:val="00F03845"/>
    <w:rsid w:val="00F33008"/>
    <w:rsid w:val="00F363D6"/>
    <w:rsid w:val="00F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5C3C"/>
  <w14:defaultImageDpi w14:val="0"/>
  <w15:docId w15:val="{A7548651-9612-704E-B445-C5B9EA0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5B"/>
    <w:rPr>
      <w:rFonts w:ascii="Calibri" w:hAnsi="Calibri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265224"/>
    <w:pPr>
      <w:spacing w:before="100" w:beforeAutospacing="1" w:after="150"/>
      <w:outlineLvl w:val="1"/>
    </w:pPr>
    <w:rPr>
      <w:rFonts w:ascii="Times New Roman" w:hAnsi="Times New Roman"/>
      <w:b/>
      <w:bCs/>
      <w:color w:val="39434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265224"/>
    <w:rPr>
      <w:rFonts w:ascii="Times New Roman" w:hAnsi="Times New Roman" w:cs="Times New Roman"/>
      <w:b/>
      <w:bCs/>
      <w:color w:val="39434D"/>
      <w:sz w:val="36"/>
      <w:szCs w:val="36"/>
    </w:rPr>
  </w:style>
  <w:style w:type="paragraph" w:styleId="ListParagraph">
    <w:name w:val="List Paragraph"/>
    <w:basedOn w:val="Normal"/>
    <w:uiPriority w:val="34"/>
    <w:qFormat/>
    <w:rsid w:val="008E1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3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2EF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2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EFB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0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6C0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BC46C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2652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at College Park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Clark</dc:creator>
  <cp:lastModifiedBy>Stan Jackson</cp:lastModifiedBy>
  <cp:revision>2</cp:revision>
  <cp:lastPrinted>2018-12-19T17:43:00Z</cp:lastPrinted>
  <dcterms:created xsi:type="dcterms:W3CDTF">2018-12-20T15:09:00Z</dcterms:created>
  <dcterms:modified xsi:type="dcterms:W3CDTF">2018-12-20T15:09:00Z</dcterms:modified>
</cp:coreProperties>
</file>