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4B783" w14:textId="151EE854" w:rsidR="00361425" w:rsidRDefault="00334940" w:rsidP="00442C97">
      <w:pPr>
        <w:spacing w:line="240" w:lineRule="auto"/>
        <w:rPr>
          <w:rFonts w:ascii="Arial" w:hAnsi="Arial" w:cs="Arial"/>
          <w:b/>
          <w:sz w:val="32"/>
        </w:rPr>
      </w:pPr>
      <w:r w:rsidRPr="00AF44FA">
        <w:rPr>
          <w:rFonts w:ascii="Arial" w:hAnsi="Arial" w:cs="Arial"/>
          <w:b/>
          <w:sz w:val="32"/>
        </w:rPr>
        <w:t>UMBC PAW PROCUREMENT SYSTEM</w:t>
      </w:r>
      <w:r w:rsidR="00847EDC" w:rsidRPr="00AF44FA">
        <w:rPr>
          <w:rFonts w:ascii="Arial" w:hAnsi="Arial" w:cs="Arial"/>
          <w:b/>
          <w:sz w:val="32"/>
        </w:rPr>
        <w:t xml:space="preserve"> (PPS)</w:t>
      </w:r>
    </w:p>
    <w:p w14:paraId="5DC39762" w14:textId="0D341509" w:rsidR="00442C97" w:rsidRPr="00442C97" w:rsidRDefault="00442C97" w:rsidP="00442C97">
      <w:pPr>
        <w:spacing w:line="240" w:lineRule="auto"/>
        <w:rPr>
          <w:rFonts w:ascii="Arial" w:hAnsi="Arial" w:cs="Arial"/>
          <w:b/>
          <w:sz w:val="24"/>
          <w:szCs w:val="24"/>
        </w:rPr>
      </w:pPr>
      <w:hyperlink r:id="rId5" w:history="1">
        <w:r w:rsidRPr="00442C97">
          <w:rPr>
            <w:rStyle w:val="Hyperlink"/>
            <w:rFonts w:ascii="Arial" w:hAnsi="Arial" w:cs="Arial"/>
            <w:b/>
            <w:sz w:val="24"/>
            <w:szCs w:val="24"/>
          </w:rPr>
          <w:t>PPS Login</w:t>
        </w:r>
      </w:hyperlink>
      <w:bookmarkStart w:id="0" w:name="_GoBack"/>
      <w:bookmarkEnd w:id="0"/>
    </w:p>
    <w:p w14:paraId="04A10C03" w14:textId="77777777" w:rsidR="008A010A" w:rsidRPr="00AF44FA" w:rsidRDefault="008A010A" w:rsidP="00AF44FA">
      <w:pPr>
        <w:spacing w:after="0"/>
        <w:rPr>
          <w:rFonts w:ascii="Arial" w:hAnsi="Arial" w:cs="Arial"/>
        </w:rPr>
      </w:pPr>
      <w:r w:rsidRPr="00AF44FA">
        <w:rPr>
          <w:rFonts w:ascii="Arial" w:hAnsi="Arial" w:cs="Arial"/>
        </w:rPr>
        <w:t>The steps below capture the workflow process for transactions that are entered into the system.</w:t>
      </w:r>
    </w:p>
    <w:p w14:paraId="31568677" w14:textId="77777777" w:rsidR="00AF44FA" w:rsidRPr="00AF44FA" w:rsidRDefault="00AF44FA" w:rsidP="00AF44FA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jc w:val="center"/>
        <w:shd w:val="pct10" w:color="auto" w:fill="auto"/>
        <w:tblLook w:val="04A0" w:firstRow="1" w:lastRow="0" w:firstColumn="1" w:lastColumn="0" w:noHBand="0" w:noVBand="1"/>
      </w:tblPr>
      <w:tblGrid>
        <w:gridCol w:w="2460"/>
        <w:gridCol w:w="1556"/>
        <w:gridCol w:w="1556"/>
        <w:gridCol w:w="1556"/>
        <w:gridCol w:w="1557"/>
        <w:gridCol w:w="2110"/>
      </w:tblGrid>
      <w:tr w:rsidR="00334940" w:rsidRPr="00AF44FA" w14:paraId="47492C31" w14:textId="77777777" w:rsidTr="00AF44FA">
        <w:trPr>
          <w:trHeight w:val="255"/>
          <w:jc w:val="center"/>
        </w:trPr>
        <w:tc>
          <w:tcPr>
            <w:tcW w:w="2460" w:type="dxa"/>
            <w:shd w:val="pct10" w:color="auto" w:fill="auto"/>
          </w:tcPr>
          <w:p w14:paraId="5F713F9F" w14:textId="77777777" w:rsidR="00334940" w:rsidRPr="00AF44FA" w:rsidRDefault="00334940" w:rsidP="00AF44FA">
            <w:pPr>
              <w:jc w:val="center"/>
              <w:rPr>
                <w:rFonts w:ascii="Arial" w:hAnsi="Arial" w:cs="Arial"/>
              </w:rPr>
            </w:pPr>
            <w:r w:rsidRPr="00AF44FA">
              <w:rPr>
                <w:rFonts w:ascii="Arial" w:hAnsi="Arial" w:cs="Arial"/>
              </w:rPr>
              <w:t>Shopping</w:t>
            </w:r>
          </w:p>
        </w:tc>
        <w:tc>
          <w:tcPr>
            <w:tcW w:w="1556" w:type="dxa"/>
            <w:shd w:val="pct10" w:color="auto" w:fill="auto"/>
          </w:tcPr>
          <w:p w14:paraId="16A2A00A" w14:textId="77777777" w:rsidR="00334940" w:rsidRPr="00AF44FA" w:rsidRDefault="00334940" w:rsidP="00AF44FA">
            <w:pPr>
              <w:jc w:val="center"/>
              <w:rPr>
                <w:rFonts w:ascii="Arial" w:hAnsi="Arial" w:cs="Arial"/>
              </w:rPr>
            </w:pPr>
            <w:r w:rsidRPr="00AF44FA">
              <w:rPr>
                <w:rFonts w:ascii="Arial" w:hAnsi="Arial" w:cs="Arial"/>
              </w:rPr>
              <w:t>Requisition and Approval</w:t>
            </w:r>
          </w:p>
        </w:tc>
        <w:tc>
          <w:tcPr>
            <w:tcW w:w="1556" w:type="dxa"/>
            <w:shd w:val="pct10" w:color="auto" w:fill="auto"/>
          </w:tcPr>
          <w:p w14:paraId="77E25AF9" w14:textId="77777777" w:rsidR="00334940" w:rsidRPr="00AF44FA" w:rsidRDefault="00334940" w:rsidP="00AF44FA">
            <w:pPr>
              <w:jc w:val="center"/>
              <w:rPr>
                <w:rFonts w:ascii="Arial" w:hAnsi="Arial" w:cs="Arial"/>
              </w:rPr>
            </w:pPr>
            <w:r w:rsidRPr="00AF44FA">
              <w:rPr>
                <w:rFonts w:ascii="Arial" w:hAnsi="Arial" w:cs="Arial"/>
              </w:rPr>
              <w:t>Ordering</w:t>
            </w:r>
          </w:p>
        </w:tc>
        <w:tc>
          <w:tcPr>
            <w:tcW w:w="1556" w:type="dxa"/>
            <w:shd w:val="pct10" w:color="auto" w:fill="auto"/>
          </w:tcPr>
          <w:p w14:paraId="41C8FD44" w14:textId="77777777" w:rsidR="00334940" w:rsidRPr="00AF44FA" w:rsidRDefault="00334940" w:rsidP="00AF44FA">
            <w:pPr>
              <w:jc w:val="center"/>
              <w:rPr>
                <w:rFonts w:ascii="Arial" w:hAnsi="Arial" w:cs="Arial"/>
              </w:rPr>
            </w:pPr>
            <w:r w:rsidRPr="00AF44FA">
              <w:rPr>
                <w:rFonts w:ascii="Arial" w:hAnsi="Arial" w:cs="Arial"/>
              </w:rPr>
              <w:t>Receiving</w:t>
            </w:r>
          </w:p>
        </w:tc>
        <w:tc>
          <w:tcPr>
            <w:tcW w:w="1557" w:type="dxa"/>
            <w:shd w:val="pct10" w:color="auto" w:fill="auto"/>
          </w:tcPr>
          <w:p w14:paraId="56A8E874" w14:textId="77777777" w:rsidR="00334940" w:rsidRPr="00AF44FA" w:rsidRDefault="00334940" w:rsidP="00AF44FA">
            <w:pPr>
              <w:jc w:val="center"/>
              <w:rPr>
                <w:rFonts w:ascii="Arial" w:hAnsi="Arial" w:cs="Arial"/>
              </w:rPr>
            </w:pPr>
            <w:r w:rsidRPr="00AF44FA">
              <w:rPr>
                <w:rFonts w:ascii="Arial" w:hAnsi="Arial" w:cs="Arial"/>
              </w:rPr>
              <w:t>Invoicing</w:t>
            </w:r>
          </w:p>
        </w:tc>
        <w:tc>
          <w:tcPr>
            <w:tcW w:w="2110" w:type="dxa"/>
            <w:shd w:val="pct10" w:color="auto" w:fill="auto"/>
          </w:tcPr>
          <w:p w14:paraId="28EA804F" w14:textId="77777777" w:rsidR="00334940" w:rsidRPr="00AF44FA" w:rsidRDefault="00334940" w:rsidP="00AF44FA">
            <w:pPr>
              <w:jc w:val="center"/>
              <w:rPr>
                <w:rFonts w:ascii="Arial" w:hAnsi="Arial" w:cs="Arial"/>
              </w:rPr>
            </w:pPr>
            <w:r w:rsidRPr="00AF44FA">
              <w:rPr>
                <w:rFonts w:ascii="Arial" w:hAnsi="Arial" w:cs="Arial"/>
              </w:rPr>
              <w:t>Matching and Payment</w:t>
            </w:r>
          </w:p>
        </w:tc>
      </w:tr>
    </w:tbl>
    <w:p w14:paraId="5D31374E" w14:textId="77777777" w:rsidR="00AF44FA" w:rsidRPr="00AF44FA" w:rsidRDefault="00AF44FA" w:rsidP="00AF44F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238D91" w14:textId="77777777" w:rsidR="00AF44FA" w:rsidRPr="00AF44FA" w:rsidRDefault="00AF44FA" w:rsidP="00AF44F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FAD289" w14:textId="77777777" w:rsidR="00BB0766" w:rsidRPr="00AF44FA" w:rsidRDefault="008A010A" w:rsidP="00AF44FA">
      <w:pPr>
        <w:spacing w:after="0" w:line="240" w:lineRule="auto"/>
        <w:rPr>
          <w:rFonts w:ascii="Arial" w:hAnsi="Arial" w:cs="Arial"/>
        </w:rPr>
      </w:pPr>
      <w:r w:rsidRPr="00AF44FA">
        <w:rPr>
          <w:rFonts w:ascii="Arial" w:hAnsi="Arial" w:cs="Arial"/>
        </w:rPr>
        <w:t xml:space="preserve">Shopping in the system is </w:t>
      </w:r>
      <w:r w:rsidR="00AF44FA">
        <w:rPr>
          <w:rFonts w:ascii="Arial" w:hAnsi="Arial" w:cs="Arial"/>
        </w:rPr>
        <w:t>essentially</w:t>
      </w:r>
      <w:r w:rsidRPr="00AF44FA">
        <w:rPr>
          <w:rFonts w:ascii="Arial" w:hAnsi="Arial" w:cs="Arial"/>
        </w:rPr>
        <w:t xml:space="preserve"> accomplished in two different ways.</w:t>
      </w:r>
    </w:p>
    <w:p w14:paraId="0B6BA9F7" w14:textId="77777777" w:rsidR="00AF44FA" w:rsidRPr="00AF44FA" w:rsidRDefault="00AF44FA" w:rsidP="00AF44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75"/>
        <w:gridCol w:w="6120"/>
      </w:tblGrid>
      <w:tr w:rsidR="00BB0766" w:rsidRPr="00AF44FA" w14:paraId="29090715" w14:textId="77777777" w:rsidTr="00AF44FA">
        <w:tc>
          <w:tcPr>
            <w:tcW w:w="4675" w:type="dxa"/>
            <w:vMerge w:val="restart"/>
            <w:vAlign w:val="center"/>
          </w:tcPr>
          <w:p w14:paraId="3C641430" w14:textId="77777777" w:rsidR="00BB0766" w:rsidRDefault="00BB0766" w:rsidP="00B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44FA">
              <w:rPr>
                <w:rFonts w:ascii="Arial" w:hAnsi="Arial" w:cs="Arial"/>
                <w:b/>
                <w:sz w:val="20"/>
                <w:szCs w:val="20"/>
              </w:rPr>
              <w:t>Catalog Shopping</w:t>
            </w:r>
          </w:p>
          <w:p w14:paraId="66675CC3" w14:textId="77777777" w:rsidR="00AF44FA" w:rsidRPr="00AF44FA" w:rsidRDefault="00AF44FA" w:rsidP="00BB07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5E9130" w14:textId="77777777" w:rsidR="00BB0766" w:rsidRPr="00AF44FA" w:rsidRDefault="00BB0766" w:rsidP="00BB0766">
            <w:p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sz w:val="20"/>
                <w:szCs w:val="20"/>
              </w:rPr>
              <w:t>Catalog shopping is accomplished when using a “hosted” or “punch-out” catalog where UMBC specific items and prices are offered by UMBC contracted suppliers.</w:t>
            </w:r>
          </w:p>
        </w:tc>
        <w:tc>
          <w:tcPr>
            <w:tcW w:w="6120" w:type="dxa"/>
          </w:tcPr>
          <w:p w14:paraId="14F4AAF1" w14:textId="77777777" w:rsidR="00BB0766" w:rsidRDefault="00BB0766" w:rsidP="00BB0766">
            <w:p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b/>
                <w:sz w:val="20"/>
                <w:szCs w:val="20"/>
              </w:rPr>
              <w:t>Punch-Out Catalogs</w:t>
            </w:r>
            <w:r w:rsidRPr="00AF44FA">
              <w:rPr>
                <w:rFonts w:ascii="Arial" w:hAnsi="Arial" w:cs="Arial"/>
                <w:sz w:val="20"/>
                <w:szCs w:val="20"/>
              </w:rPr>
              <w:t xml:space="preserve"> are created and maintained by each supplier so the exact steps of how to search, shop and add items to your shopping cart will vary.</w:t>
            </w:r>
            <w:r w:rsidR="008A010A" w:rsidRPr="00AF44FA">
              <w:rPr>
                <w:rFonts w:ascii="Arial" w:hAnsi="Arial" w:cs="Arial"/>
                <w:sz w:val="20"/>
                <w:szCs w:val="20"/>
              </w:rPr>
              <w:t xml:space="preserve"> These suppliers are “enabled” in the system.</w:t>
            </w:r>
          </w:p>
          <w:p w14:paraId="094EA47D" w14:textId="77777777" w:rsidR="00AF44FA" w:rsidRPr="00AF44FA" w:rsidRDefault="00AF44FA" w:rsidP="00BB0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766" w:rsidRPr="00AF44FA" w14:paraId="49E81BAF" w14:textId="77777777" w:rsidTr="00AF44FA">
        <w:tc>
          <w:tcPr>
            <w:tcW w:w="4675" w:type="dxa"/>
            <w:vMerge/>
          </w:tcPr>
          <w:p w14:paraId="5A6188E5" w14:textId="77777777" w:rsidR="00BB0766" w:rsidRPr="00AF44FA" w:rsidRDefault="00BB0766" w:rsidP="00334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ACD91FB" w14:textId="77777777" w:rsidR="00BB0766" w:rsidRDefault="00BB0766" w:rsidP="00BB0766">
            <w:p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b/>
                <w:sz w:val="20"/>
                <w:szCs w:val="20"/>
              </w:rPr>
              <w:t>Hosted Catalogs</w:t>
            </w:r>
            <w:r w:rsidRPr="00AF44FA">
              <w:rPr>
                <w:rFonts w:ascii="Arial" w:hAnsi="Arial" w:cs="Arial"/>
                <w:sz w:val="20"/>
                <w:szCs w:val="20"/>
              </w:rPr>
              <w:t xml:space="preserve"> are maintained directly within the UMBC PAW Procurement System. The hosted catalog shopping experience has a consistent look and feel regardless of the supplier.</w:t>
            </w:r>
          </w:p>
          <w:p w14:paraId="6B662D63" w14:textId="77777777" w:rsidR="00AF44FA" w:rsidRPr="00AF44FA" w:rsidRDefault="00AF44FA" w:rsidP="00BB0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940" w:rsidRPr="00AF44FA" w14:paraId="2CAEB212" w14:textId="77777777" w:rsidTr="00AF44FA">
        <w:tc>
          <w:tcPr>
            <w:tcW w:w="4675" w:type="dxa"/>
            <w:vAlign w:val="center"/>
          </w:tcPr>
          <w:p w14:paraId="687AF7FE" w14:textId="77777777" w:rsidR="00334940" w:rsidRPr="00AF44FA" w:rsidRDefault="00334940" w:rsidP="00B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44FA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 w:rsidR="008A010A" w:rsidRPr="00AF44FA">
              <w:rPr>
                <w:rFonts w:ascii="Arial" w:hAnsi="Arial" w:cs="Arial"/>
                <w:b/>
                <w:sz w:val="20"/>
                <w:szCs w:val="20"/>
              </w:rPr>
              <w:t>-Catalog Shopping</w:t>
            </w:r>
          </w:p>
        </w:tc>
        <w:tc>
          <w:tcPr>
            <w:tcW w:w="6120" w:type="dxa"/>
          </w:tcPr>
          <w:p w14:paraId="5088A8EF" w14:textId="77777777" w:rsidR="00334940" w:rsidRDefault="00847EDC" w:rsidP="008A010A">
            <w:p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b/>
                <w:sz w:val="20"/>
                <w:szCs w:val="20"/>
              </w:rPr>
              <w:t>“Non-catalog”</w:t>
            </w:r>
            <w:r w:rsidRPr="00AF44FA">
              <w:rPr>
                <w:rFonts w:ascii="Arial" w:hAnsi="Arial" w:cs="Arial"/>
                <w:sz w:val="20"/>
                <w:szCs w:val="20"/>
              </w:rPr>
              <w:t xml:space="preserve"> refers to purchases where </w:t>
            </w:r>
            <w:r w:rsidR="008A010A" w:rsidRPr="00AF44FA">
              <w:rPr>
                <w:rFonts w:ascii="Arial" w:hAnsi="Arial" w:cs="Arial"/>
                <w:sz w:val="20"/>
                <w:szCs w:val="20"/>
              </w:rPr>
              <w:t>a supplier’s catalog has not been loaded or enabled in the system</w:t>
            </w:r>
            <w:r w:rsidRPr="00AF44FA">
              <w:rPr>
                <w:rFonts w:ascii="Arial" w:hAnsi="Arial" w:cs="Arial"/>
                <w:sz w:val="20"/>
                <w:szCs w:val="20"/>
              </w:rPr>
              <w:t>.</w:t>
            </w:r>
            <w:r w:rsidR="00BB0766" w:rsidRPr="00AF4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10A" w:rsidRPr="00AF44FA">
              <w:rPr>
                <w:rFonts w:ascii="Arial" w:hAnsi="Arial" w:cs="Arial"/>
                <w:sz w:val="20"/>
                <w:szCs w:val="20"/>
              </w:rPr>
              <w:t>The quote received from the supplier provides the information necessary to fill out the form, and should be attached as backup information. The non-catalog</w:t>
            </w:r>
            <w:r w:rsidR="00BB0766" w:rsidRPr="00AF44FA">
              <w:rPr>
                <w:rFonts w:ascii="Arial" w:hAnsi="Arial" w:cs="Arial"/>
                <w:sz w:val="20"/>
                <w:szCs w:val="20"/>
              </w:rPr>
              <w:t xml:space="preserve"> form may only be submitted if the supplier is already registered in the system. </w:t>
            </w:r>
          </w:p>
          <w:p w14:paraId="25C5B49D" w14:textId="77777777" w:rsidR="00AF44FA" w:rsidRPr="00AF44FA" w:rsidRDefault="00AF44FA" w:rsidP="008A0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F21782" w14:textId="77777777" w:rsidR="00334940" w:rsidRPr="00AF44FA" w:rsidRDefault="00334940" w:rsidP="00AF44FA">
      <w:pPr>
        <w:spacing w:after="0"/>
        <w:rPr>
          <w:rFonts w:ascii="Arial" w:hAnsi="Arial" w:cs="Arial"/>
        </w:rPr>
      </w:pPr>
    </w:p>
    <w:p w14:paraId="167CAE32" w14:textId="77777777" w:rsidR="00847EDC" w:rsidRPr="00AF44FA" w:rsidRDefault="008A010A" w:rsidP="00AF44FA">
      <w:pPr>
        <w:spacing w:after="0"/>
        <w:rPr>
          <w:rFonts w:ascii="Arial" w:hAnsi="Arial" w:cs="Arial"/>
        </w:rPr>
      </w:pPr>
      <w:r w:rsidRPr="00AF44FA">
        <w:rPr>
          <w:rFonts w:ascii="Arial" w:hAnsi="Arial" w:cs="Arial"/>
        </w:rPr>
        <w:t>The following roles for end users exist in the system: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75"/>
        <w:gridCol w:w="6120"/>
      </w:tblGrid>
      <w:tr w:rsidR="008A010A" w:rsidRPr="00AF44FA" w14:paraId="4910B3CF" w14:textId="77777777" w:rsidTr="00AF44FA">
        <w:trPr>
          <w:trHeight w:val="1853"/>
        </w:trPr>
        <w:tc>
          <w:tcPr>
            <w:tcW w:w="4675" w:type="dxa"/>
          </w:tcPr>
          <w:p w14:paraId="48337115" w14:textId="77777777" w:rsidR="008A010A" w:rsidRDefault="008A01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44FA">
              <w:rPr>
                <w:rFonts w:ascii="Arial" w:hAnsi="Arial" w:cs="Arial"/>
                <w:b/>
                <w:sz w:val="20"/>
                <w:szCs w:val="20"/>
              </w:rPr>
              <w:t>Shopper</w:t>
            </w:r>
          </w:p>
          <w:p w14:paraId="7885FFF4" w14:textId="77777777" w:rsidR="00AF44FA" w:rsidRPr="00AF44FA" w:rsidRDefault="00AF44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B91EDD" w14:textId="77777777" w:rsidR="00D519B9" w:rsidRPr="00AF44FA" w:rsidRDefault="00D519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F44FA">
              <w:rPr>
                <w:rFonts w:ascii="Arial" w:hAnsi="Arial" w:cs="Arial"/>
                <w:i/>
                <w:sz w:val="20"/>
                <w:szCs w:val="20"/>
              </w:rPr>
              <w:t>(all active employees of UMBC)</w:t>
            </w:r>
          </w:p>
          <w:p w14:paraId="23E1DB6E" w14:textId="77777777" w:rsidR="00D519B9" w:rsidRPr="00AF44FA" w:rsidRDefault="00D5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AABC7F4" w14:textId="77777777" w:rsidR="008A010A" w:rsidRPr="00AF44FA" w:rsidRDefault="00D519B9" w:rsidP="00D519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sz w:val="20"/>
                <w:szCs w:val="20"/>
              </w:rPr>
              <w:t>Shop and create carts</w:t>
            </w:r>
          </w:p>
          <w:p w14:paraId="1B22AFF0" w14:textId="77777777" w:rsidR="008A010A" w:rsidRPr="00AF44FA" w:rsidRDefault="00D519B9" w:rsidP="00D519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sz w:val="20"/>
                <w:szCs w:val="20"/>
              </w:rPr>
              <w:t>Unable to submit order – sends to department Requester</w:t>
            </w:r>
          </w:p>
          <w:p w14:paraId="1CC44AEE" w14:textId="77777777" w:rsidR="00D519B9" w:rsidRPr="00AF44FA" w:rsidRDefault="00D519B9" w:rsidP="00D519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sz w:val="20"/>
                <w:szCs w:val="20"/>
              </w:rPr>
              <w:t>Optional – can add comments, ship to addresses, and funding information</w:t>
            </w:r>
          </w:p>
          <w:p w14:paraId="317B3D8A" w14:textId="77777777" w:rsidR="00D519B9" w:rsidRPr="00AF44FA" w:rsidRDefault="00D519B9" w:rsidP="00D519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sz w:val="20"/>
                <w:szCs w:val="20"/>
              </w:rPr>
              <w:t>Can review associated requisitions, purchase orders, and invoices</w:t>
            </w:r>
          </w:p>
          <w:p w14:paraId="5FF4AFFF" w14:textId="77777777" w:rsidR="008A010A" w:rsidRPr="00AF44FA" w:rsidRDefault="00D519B9" w:rsidP="00D519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sz w:val="20"/>
                <w:szCs w:val="20"/>
              </w:rPr>
              <w:t>Enters receipts for goods received or services rendered</w:t>
            </w:r>
          </w:p>
        </w:tc>
      </w:tr>
      <w:tr w:rsidR="008A010A" w:rsidRPr="00AF44FA" w14:paraId="4B19416B" w14:textId="77777777" w:rsidTr="00AF44FA">
        <w:tc>
          <w:tcPr>
            <w:tcW w:w="4675" w:type="dxa"/>
          </w:tcPr>
          <w:p w14:paraId="20CEF4CD" w14:textId="77777777" w:rsidR="008A010A" w:rsidRDefault="008A01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44FA">
              <w:rPr>
                <w:rFonts w:ascii="Arial" w:hAnsi="Arial" w:cs="Arial"/>
                <w:b/>
                <w:sz w:val="20"/>
                <w:szCs w:val="20"/>
              </w:rPr>
              <w:t>Requester</w:t>
            </w:r>
          </w:p>
          <w:p w14:paraId="3E9225D4" w14:textId="77777777" w:rsidR="00AF44FA" w:rsidRPr="00AF44FA" w:rsidRDefault="00AF44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C20931" w14:textId="77777777" w:rsidR="00D519B9" w:rsidRPr="00AF44FA" w:rsidRDefault="00D519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F44FA">
              <w:rPr>
                <w:rFonts w:ascii="Arial" w:hAnsi="Arial" w:cs="Arial"/>
                <w:i/>
                <w:sz w:val="20"/>
                <w:szCs w:val="20"/>
              </w:rPr>
              <w:t>(department personnel currently in the role of requisitioner in PeopleSoft)</w:t>
            </w:r>
          </w:p>
        </w:tc>
        <w:tc>
          <w:tcPr>
            <w:tcW w:w="6120" w:type="dxa"/>
          </w:tcPr>
          <w:p w14:paraId="39E741BE" w14:textId="77777777" w:rsidR="00D519B9" w:rsidRPr="00AF44FA" w:rsidRDefault="00D519B9" w:rsidP="008A010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sz w:val="20"/>
                <w:szCs w:val="20"/>
              </w:rPr>
              <w:t>Shop and create carts</w:t>
            </w:r>
          </w:p>
          <w:p w14:paraId="77D1DE8D" w14:textId="77777777" w:rsidR="00D519B9" w:rsidRPr="00AF44FA" w:rsidRDefault="00D519B9" w:rsidP="008A010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sz w:val="20"/>
                <w:szCs w:val="20"/>
              </w:rPr>
              <w:t>Submit carts</w:t>
            </w:r>
          </w:p>
          <w:p w14:paraId="4953C0D5" w14:textId="77777777" w:rsidR="00D519B9" w:rsidRPr="00AF44FA" w:rsidRDefault="00D519B9" w:rsidP="008A010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sz w:val="20"/>
                <w:szCs w:val="20"/>
              </w:rPr>
              <w:t>Receive carts assigned to them</w:t>
            </w:r>
          </w:p>
          <w:p w14:paraId="2D197DBA" w14:textId="77777777" w:rsidR="00D519B9" w:rsidRPr="00AF44FA" w:rsidRDefault="00D519B9" w:rsidP="008A010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sz w:val="20"/>
                <w:szCs w:val="20"/>
              </w:rPr>
              <w:t>Must include funding information and Ship to addresses on submitted carts (if not done by Shopper)</w:t>
            </w:r>
          </w:p>
          <w:p w14:paraId="45F913F3" w14:textId="77777777" w:rsidR="00D519B9" w:rsidRPr="00AF44FA" w:rsidRDefault="00D519B9" w:rsidP="00D519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44FA">
              <w:rPr>
                <w:rFonts w:ascii="Arial" w:hAnsi="Arial" w:cs="Arial"/>
                <w:sz w:val="20"/>
                <w:szCs w:val="20"/>
                <w:u w:val="single"/>
              </w:rPr>
              <w:t>Is the only role that has the authority to place an order, or enter a payment request or invoice</w:t>
            </w:r>
          </w:p>
          <w:p w14:paraId="7F7F20C6" w14:textId="77777777" w:rsidR="00AF44FA" w:rsidRPr="00AF44FA" w:rsidRDefault="00AF44FA" w:rsidP="00AF44FA">
            <w:pPr>
              <w:pStyle w:val="ListParagrap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A010A" w:rsidRPr="00AF44FA" w14:paraId="47DE592A" w14:textId="77777777" w:rsidTr="00AF44FA">
        <w:tc>
          <w:tcPr>
            <w:tcW w:w="4675" w:type="dxa"/>
          </w:tcPr>
          <w:p w14:paraId="22EF7885" w14:textId="77777777" w:rsidR="008A010A" w:rsidRDefault="00D519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44FA">
              <w:rPr>
                <w:rFonts w:ascii="Arial" w:hAnsi="Arial" w:cs="Arial"/>
                <w:b/>
                <w:sz w:val="20"/>
                <w:szCs w:val="20"/>
              </w:rPr>
              <w:t>Approver</w:t>
            </w:r>
          </w:p>
          <w:p w14:paraId="57EF4734" w14:textId="77777777" w:rsidR="00AF44FA" w:rsidRPr="00AF44FA" w:rsidRDefault="00AF44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8B7B46" w14:textId="77777777" w:rsidR="00D519B9" w:rsidRPr="00AF44FA" w:rsidRDefault="00D519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F44FA">
              <w:rPr>
                <w:rFonts w:ascii="Arial" w:hAnsi="Arial" w:cs="Arial"/>
                <w:i/>
                <w:sz w:val="20"/>
                <w:szCs w:val="20"/>
              </w:rPr>
              <w:t>(department personnel currently in the role of approver in Peoplesoft)</w:t>
            </w:r>
          </w:p>
        </w:tc>
        <w:tc>
          <w:tcPr>
            <w:tcW w:w="6120" w:type="dxa"/>
          </w:tcPr>
          <w:p w14:paraId="2F04D6B1" w14:textId="77777777" w:rsidR="008A010A" w:rsidRPr="00AF44FA" w:rsidRDefault="00D519B9" w:rsidP="00D519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sz w:val="20"/>
                <w:szCs w:val="20"/>
              </w:rPr>
              <w:t xml:space="preserve">Reviews all transactions </w:t>
            </w:r>
            <w:r w:rsidR="00AF44FA" w:rsidRPr="00AF44FA">
              <w:rPr>
                <w:rFonts w:ascii="Arial" w:hAnsi="Arial" w:cs="Arial"/>
                <w:sz w:val="20"/>
                <w:szCs w:val="20"/>
              </w:rPr>
              <w:t>for compliance and budget availability</w:t>
            </w:r>
          </w:p>
          <w:p w14:paraId="67AD08DC" w14:textId="77777777" w:rsidR="00D519B9" w:rsidRPr="00AF44FA" w:rsidRDefault="00D519B9" w:rsidP="00D519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sz w:val="20"/>
                <w:szCs w:val="20"/>
              </w:rPr>
              <w:t xml:space="preserve">Approves use of </w:t>
            </w:r>
            <w:proofErr w:type="spellStart"/>
            <w:r w:rsidRPr="00AF44FA">
              <w:rPr>
                <w:rFonts w:ascii="Arial" w:hAnsi="Arial" w:cs="Arial"/>
                <w:sz w:val="20"/>
                <w:szCs w:val="20"/>
              </w:rPr>
              <w:t>chartstring</w:t>
            </w:r>
            <w:proofErr w:type="spellEnd"/>
            <w:r w:rsidRPr="00AF44FA">
              <w:rPr>
                <w:rFonts w:ascii="Arial" w:hAnsi="Arial" w:cs="Arial"/>
                <w:sz w:val="20"/>
                <w:szCs w:val="20"/>
              </w:rPr>
              <w:t xml:space="preserve"> or modifies to the correct one</w:t>
            </w:r>
          </w:p>
          <w:p w14:paraId="7439C17A" w14:textId="77777777" w:rsidR="00D519B9" w:rsidRPr="00AF44FA" w:rsidRDefault="00D519B9" w:rsidP="00D519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sz w:val="20"/>
                <w:szCs w:val="20"/>
              </w:rPr>
              <w:t>Approves or returns transactions</w:t>
            </w:r>
          </w:p>
          <w:p w14:paraId="66C05230" w14:textId="77777777" w:rsidR="00AF44FA" w:rsidRPr="00AF44FA" w:rsidRDefault="00AF44FA" w:rsidP="00D519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F44FA">
              <w:rPr>
                <w:rFonts w:ascii="Arial" w:hAnsi="Arial" w:cs="Arial"/>
                <w:sz w:val="20"/>
                <w:szCs w:val="20"/>
              </w:rPr>
              <w:t>Can also shop</w:t>
            </w:r>
          </w:p>
          <w:p w14:paraId="7B1DF8CA" w14:textId="77777777" w:rsidR="00AF44FA" w:rsidRPr="00AF44FA" w:rsidRDefault="00AF44FA" w:rsidP="00AF44F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F7CCC" w14:textId="77777777" w:rsidR="00AF44FA" w:rsidRDefault="00AF44FA" w:rsidP="00AF44FA">
      <w:pPr>
        <w:spacing w:after="0"/>
        <w:rPr>
          <w:rFonts w:ascii="Arial" w:hAnsi="Arial" w:cs="Arial"/>
        </w:rPr>
      </w:pPr>
    </w:p>
    <w:p w14:paraId="45335E19" w14:textId="5D3B8A6C" w:rsidR="00847EDC" w:rsidRDefault="00AF44FA" w:rsidP="00AF44FA">
      <w:pPr>
        <w:spacing w:after="0"/>
        <w:rPr>
          <w:rFonts w:ascii="Arial" w:eastAsia="Times New Roman" w:hAnsi="Arial" w:cs="Arial"/>
        </w:rPr>
      </w:pPr>
      <w:r w:rsidRPr="00AF44FA">
        <w:rPr>
          <w:rFonts w:ascii="Arial" w:hAnsi="Arial" w:cs="Arial"/>
        </w:rPr>
        <w:t>If you are</w:t>
      </w:r>
      <w:r w:rsidR="00442C97">
        <w:rPr>
          <w:rFonts w:ascii="Arial" w:hAnsi="Arial" w:cs="Arial"/>
        </w:rPr>
        <w:t xml:space="preserve"> still</w:t>
      </w:r>
      <w:r w:rsidRPr="00AF44FA">
        <w:rPr>
          <w:rFonts w:ascii="Arial" w:hAnsi="Arial" w:cs="Arial"/>
        </w:rPr>
        <w:t xml:space="preserve"> interested in exploring the</w:t>
      </w:r>
      <w:r w:rsidR="00442C97">
        <w:rPr>
          <w:rFonts w:ascii="Arial" w:hAnsi="Arial" w:cs="Arial"/>
        </w:rPr>
        <w:t xml:space="preserve"> test</w:t>
      </w:r>
      <w:r w:rsidRPr="00AF44FA">
        <w:rPr>
          <w:rFonts w:ascii="Arial" w:hAnsi="Arial" w:cs="Arial"/>
        </w:rPr>
        <w:t xml:space="preserve"> system, use the following </w:t>
      </w:r>
      <w:r w:rsidR="00847EDC" w:rsidRPr="00AF44FA">
        <w:rPr>
          <w:rFonts w:ascii="Arial" w:eastAsia="Times New Roman" w:hAnsi="Arial" w:cs="Arial"/>
        </w:rPr>
        <w:t>SSO LINK for automatic authentication to PPS TEST system</w:t>
      </w:r>
      <w:r w:rsidRPr="00AF44FA">
        <w:rPr>
          <w:rFonts w:ascii="Arial" w:eastAsia="Times New Roman" w:hAnsi="Arial" w:cs="Arial"/>
        </w:rPr>
        <w:t>:</w:t>
      </w:r>
    </w:p>
    <w:p w14:paraId="5EADC391" w14:textId="77777777" w:rsidR="00AF44FA" w:rsidRPr="00AF44FA" w:rsidRDefault="00AF44FA" w:rsidP="00AF44FA">
      <w:pPr>
        <w:spacing w:after="0"/>
        <w:rPr>
          <w:rFonts w:ascii="Arial" w:hAnsi="Arial" w:cs="Arial"/>
        </w:rPr>
      </w:pPr>
    </w:p>
    <w:p w14:paraId="35555565" w14:textId="3D7A7B6F" w:rsidR="00AF44FA" w:rsidRDefault="00442C97" w:rsidP="00442C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6" w:history="1">
        <w:r w:rsidR="00AF44FA" w:rsidRPr="00AF44FA">
          <w:rPr>
            <w:rStyle w:val="Hyperlink"/>
            <w:rFonts w:ascii="Arial" w:eastAsia="Times New Roman" w:hAnsi="Arial" w:cs="Arial"/>
            <w:sz w:val="20"/>
            <w:szCs w:val="20"/>
          </w:rPr>
          <w:t>https://usertest.sciquest.com/apps/Router/SAMLAuth/UMDBC</w:t>
        </w:r>
      </w:hyperlink>
      <w:r w:rsidR="00AF44FA" w:rsidRPr="00AF44F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EDE142A" w14:textId="77777777" w:rsidR="00442C97" w:rsidRPr="00442C97" w:rsidRDefault="00442C97" w:rsidP="00442C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5B9C2C8" w14:textId="77777777" w:rsidR="00AF44FA" w:rsidRPr="00AF44FA" w:rsidRDefault="00AF44FA" w:rsidP="00AF44FA">
      <w:pPr>
        <w:spacing w:after="0"/>
        <w:rPr>
          <w:rFonts w:ascii="Arial" w:hAnsi="Arial" w:cs="Arial"/>
          <w:i/>
          <w:sz w:val="20"/>
        </w:rPr>
      </w:pPr>
      <w:r w:rsidRPr="00AF44FA">
        <w:rPr>
          <w:rFonts w:ascii="Arial" w:hAnsi="Arial" w:cs="Arial"/>
          <w:i/>
          <w:sz w:val="20"/>
        </w:rPr>
        <w:t>Please note that unless you are currently an approver in PeopleSoft, you will automatically enter the system in the shopper role.</w:t>
      </w:r>
    </w:p>
    <w:sectPr w:rsidR="00AF44FA" w:rsidRPr="00AF44FA" w:rsidSect="00442C97">
      <w:pgSz w:w="12240" w:h="15840"/>
      <w:pgMar w:top="720" w:right="720" w:bottom="45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CA2"/>
    <w:multiLevelType w:val="hybridMultilevel"/>
    <w:tmpl w:val="EAD2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7477D"/>
    <w:multiLevelType w:val="hybridMultilevel"/>
    <w:tmpl w:val="7F58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113CB"/>
    <w:multiLevelType w:val="hybridMultilevel"/>
    <w:tmpl w:val="2464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40"/>
    <w:rsid w:val="00051B6B"/>
    <w:rsid w:val="00334940"/>
    <w:rsid w:val="00442C97"/>
    <w:rsid w:val="00762FCC"/>
    <w:rsid w:val="00847EDC"/>
    <w:rsid w:val="008A010A"/>
    <w:rsid w:val="00AF44FA"/>
    <w:rsid w:val="00BB0766"/>
    <w:rsid w:val="00BD0DCD"/>
    <w:rsid w:val="00D519B9"/>
    <w:rsid w:val="00F2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39B0"/>
  <w15:chartTrackingRefBased/>
  <w15:docId w15:val="{7E7ECC4D-E8F8-4379-99C5-69532663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ertest.sciquest.com/apps/Router/SAMLAuth/UMDBC" TargetMode="External"/><Relationship Id="rId5" Type="http://schemas.openxmlformats.org/officeDocument/2006/relationships/hyperlink" Target="https://www.umbc.edu/go/paw-procur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Persell</dc:creator>
  <cp:keywords/>
  <dc:description/>
  <cp:lastModifiedBy>Robert Donaldson</cp:lastModifiedBy>
  <cp:revision>2</cp:revision>
  <dcterms:created xsi:type="dcterms:W3CDTF">2019-11-01T12:04:00Z</dcterms:created>
  <dcterms:modified xsi:type="dcterms:W3CDTF">2019-11-01T12:04:00Z</dcterms:modified>
</cp:coreProperties>
</file>