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48"/>
          <w:szCs w:val="48"/>
          <w:rtl w:val="0"/>
        </w:rPr>
        <w:t xml:space="preserve">RSA GBM Minutes 11/21</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Upcoming Events: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Town Hall- 12/5/16- Harbor MPR-5:30p-7:00p</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RSA GBM [Last Meeting]- Harbor MPR- 12/12/16</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Midnight Breakfast- True Grit Dining Hall- 12/13/16- 11p-2a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Study Day- 12/14/16-All Day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The Current Spirit Point Count: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PMC: 672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SUS: 581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APTS: 521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WAA: 268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CPK: 108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PAT- 106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ERK- 86 pts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HBR- 40 pts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Town Hall Updates: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-Time where we have a panel of professionals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-We want you guys to go back to your communities and brainstorm questions that you would liked to ask professionals to get answers about.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-Time in Town hall where professionals will ask you all questions about what you need on campus.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-This is a chance to voice your concerns give suggestions.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-We’re working on getting Qdoba to cater for the event.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-Think of questions with your cc about major issues on campus for Townhall- Bring questions back to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Town Hall- Who’s going to be there?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Recreation</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SJP</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Reslife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Dining</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Card and Mail</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Life</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Facilities</w:t>
      </w:r>
    </w:p>
    <w:p w:rsidR="00000000" w:rsidDel="00000000" w:rsidP="00000000" w:rsidRDefault="00000000" w:rsidRPr="00000000">
      <w:pPr>
        <w:numPr>
          <w:ilvl w:val="0"/>
          <w:numId w:val="1"/>
        </w:numP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Mannequin Challenge: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-Recording one today- with E-board and the General Body to represent RSA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-Setting of video- Everyone’s at a meeting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Our challenge will be shared on the facebook page.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Group Discussion-Passive Programming- Updates from Communities: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-Susquehanna is doing decorating as a de-stressor, talking about what’s going on during finals- if you need help on an exam- there will be study groups.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-Potomac- apart from Sky factor, they realize that people don’t have time to thoroughly sit down for an event, and will have counseling flyers out. They’re going to provide free food, and stress balls.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-Patapsco is starting to plan an event right after break called Ptap Assassins- There will be assigned targets.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-Erickson get Cozy with Cocoa- A place where you can watch a movie and there’s hot cocoa.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-Passive Programs Examples- Have stuff people can pick up on a table (something you don’t have to man yourself), putting up fliers, giving out pencils and erasers.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-You don’t necessarily have to do a big extravagant event to make an impact.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-You could even promote an initiative with these events- Wellness, Self-Care can be really powerful.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Midnight Breakfast: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-Theme- 50’s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-Check your email for Midnight Breakfast Volunteer Sheet and forward to others that might be interested.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-You earn spirit points for volunteering!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-We’re looking for swing dancers to teach or perform at Midnight Breakfast.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Spirit Point Prizes: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-Talk to your community councils about what they would like to earn as prizes.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-RSA Reps don’t forget to update posters!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