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o6wl70ih24fb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 Steps for Getting Started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STEP 1: Review the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Fall Opportunities Chart 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and complete the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Placement Survey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 SLCE Team Member will reach out to set up an individualized meeting about your placement logistics and next steps. Respond to their meeting invitation on Google Calendar.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f1c23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STEP 2: Attend one in-person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1c232"/>
          <w:sz w:val="26"/>
          <w:szCs w:val="26"/>
          <w:rtl w:val="0"/>
        </w:rPr>
        <w:t xml:space="preserve">Authentic Service Training</w:t>
      </w:r>
      <w:r w:rsidDel="00000000" w:rsidR="00000000" w:rsidRPr="00000000">
        <w:rPr>
          <w:rFonts w:ascii="Times New Roman" w:cs="Times New Roman" w:eastAsia="Times New Roman" w:hAnsi="Times New Roman"/>
          <w:color w:val="f1c232"/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Monday, September 11 12:00-12:50 PM EST Room: TBD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Monday, September 18 12:00-12:50 PM EST Room: TBD 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Monday, September 25 12:00-12:50 PM EST Room: TBD  </w:t>
      </w:r>
    </w:p>
    <w:p w:rsidR="00000000" w:rsidDel="00000000" w:rsidP="00000000" w:rsidRDefault="00000000" w:rsidRPr="00000000" w14:paraId="00000009">
      <w:pPr>
        <w:pStyle w:val="Heading4"/>
        <w:widowControl w:val="0"/>
        <w:shd w:fill="ffffff" w:val="clear"/>
        <w:spacing w:after="40" w:before="240" w:line="240" w:lineRule="auto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kcs2cjcp86o8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NOTE: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In-person attendance is strongly encouraged. A video assignment will be available for virtual participation in training activities.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color w:val="f1c23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STEP 3: Attend one in-person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1c232"/>
          <w:sz w:val="26"/>
          <w:szCs w:val="26"/>
          <w:rtl w:val="0"/>
        </w:rPr>
        <w:t xml:space="preserve">Orientation with SLCE Staff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September 15 12:00-1:00 pm Room: ILSB 116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Submit Quiz on Blackboard </w:t>
      </w:r>
    </w:p>
    <w:p w:rsidR="00000000" w:rsidDel="00000000" w:rsidP="00000000" w:rsidRDefault="00000000" w:rsidRPr="00000000" w14:paraId="0000000E">
      <w:pPr>
        <w:pStyle w:val="Heading4"/>
        <w:widowControl w:val="0"/>
        <w:shd w:fill="ffffff" w:val="clear"/>
        <w:spacing w:after="40" w:before="240" w:line="240" w:lineRule="auto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dxu48n87byps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NOTE: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In-person attendance is strongly encouraged. A video assignment will be available for virtual participation in training activities.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STEP 4: Follow instructions for site onboarding and PRAC 096 Enrollment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Once enrolled, complete STEP 5: Create and write 3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1c232"/>
          <w:sz w:val="26"/>
          <w:szCs w:val="26"/>
          <w:rtl w:val="0"/>
        </w:rPr>
        <w:t xml:space="preserve">Learning Goals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in Blackboard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tabs>
          <w:tab w:val="left" w:leader="none" w:pos="5760"/>
        </w:tabs>
        <w:spacing w:before="120" w:line="240" w:lineRule="auto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t1ch3bskjnbk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Enrollment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20.0" w:type="dxa"/>
        <w:jc w:val="left"/>
        <w:tblInd w:w="-26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20"/>
        <w:gridCol w:w="2240"/>
        <w:gridCol w:w="880"/>
        <w:gridCol w:w="680"/>
        <w:tblGridChange w:id="0">
          <w:tblGrid>
            <w:gridCol w:w="10320"/>
            <w:gridCol w:w="2240"/>
            <w:gridCol w:w="880"/>
            <w:gridCol w:w="68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tabs>
                <w:tab w:val="left" w:leader="none" w:pos="5760"/>
              </w:tabs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PRAC 096 enrollment has moved 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1c232"/>
                <w:sz w:val="26"/>
                <w:szCs w:val="26"/>
                <w:rtl w:val="0"/>
              </w:rPr>
              <w:t xml:space="preserve">Handshake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Only after SLCE consultation,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follow these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6"/>
                  <w:szCs w:val="26"/>
                  <w:u w:val="single"/>
                  <w:rtl w:val="0"/>
                </w:rPr>
                <w:t xml:space="preserve">instructions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to add “Shriver Center - Service-Learning (Prac 096)” Experience to Handshake. Do not put a site/partner email address.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Handshake Link: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6"/>
                  <w:szCs w:val="26"/>
                  <w:u w:val="single"/>
                  <w:rtl w:val="0"/>
                </w:rPr>
                <w:t xml:space="preserve">Access Here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Tutorial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6"/>
                  <w:szCs w:val="26"/>
                  <w:u w:val="single"/>
                  <w:rtl w:val="0"/>
                </w:rPr>
                <w:t xml:space="preserve">Video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how to navigate the platform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Login, click “Career Center” top right corner of page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41413"/>
                <w:sz w:val="26"/>
                <w:szCs w:val="26"/>
                <w:rtl w:val="0"/>
              </w:rPr>
              <w:t xml:space="preserve">Click the “Experience” button in the middle of your screen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Search “Shriver Center - Service-Learning (Prac 096)”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Add Fall 2023 Community Partner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Send to Shriver Center as approvers-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shriverslce@umbc.edu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hd w:fill="ffffff" w:val="clear"/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760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The last day to drop from individual courses without a “W” is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September 13, 2023. </w:t>
      </w:r>
    </w:p>
    <w:p w:rsidR="00000000" w:rsidDel="00000000" w:rsidP="00000000" w:rsidRDefault="00000000" w:rsidRPr="00000000" w14:paraId="00000020">
      <w:pPr>
        <w:tabs>
          <w:tab w:val="left" w:leader="none" w:pos="5760"/>
        </w:tabs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The last day to drop from individual courses with a “W” is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November 8,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8ecz6trmak7h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Attend Service Weekly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Submit one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1c232"/>
          <w:sz w:val="26"/>
          <w:szCs w:val="26"/>
          <w:rtl w:val="0"/>
        </w:rPr>
        <w:t xml:space="preserve">Timesheet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on Blackboard before December 12, 2023 (a photo/screenshot)</w:t>
      </w:r>
    </w:p>
    <w:p w:rsidR="00000000" w:rsidDel="00000000" w:rsidP="00000000" w:rsidRDefault="00000000" w:rsidRPr="00000000" w14:paraId="00000024">
      <w:pPr>
        <w:pStyle w:val="Heading1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tnv1aftlf0p9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Reflection Sessions</w:t>
      </w:r>
    </w:p>
    <w:p w:rsidR="00000000" w:rsidDel="00000000" w:rsidP="00000000" w:rsidRDefault="00000000" w:rsidRPr="00000000" w14:paraId="00000025">
      <w:pPr>
        <w:widowControl w:val="0"/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All sites should a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ttend one in-person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1c232"/>
          <w:sz w:val="26"/>
          <w:szCs w:val="26"/>
          <w:rtl w:val="0"/>
        </w:rPr>
        <w:t xml:space="preserve">Reflection with SLCE Staff.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6">
      <w:pPr>
        <w:widowControl w:val="0"/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Sites with student coordinators should also attend their hosted reflections.</w:t>
      </w:r>
    </w:p>
    <w:p w:rsidR="00000000" w:rsidDel="00000000" w:rsidP="00000000" w:rsidRDefault="00000000" w:rsidRPr="00000000" w14:paraId="00000027">
      <w:pPr>
        <w:widowControl w:val="0"/>
        <w:shd w:fill="ffffff" w:val="clear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hd w:fill="ffffff" w:val="clear"/>
        <w:spacing w:line="240" w:lineRule="auto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6"/>
          <w:szCs w:val="26"/>
          <w:rtl w:val="0"/>
        </w:rPr>
        <w:t xml:space="preserve">Option 1: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 Wednesday, Nov 1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vertAlign w:val="superscript"/>
          <w:rtl w:val="0"/>
        </w:rPr>
        <w:t xml:space="preserve">st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5:30pm-7:00pm Math Physics Room 104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hd w:fill="ffffff" w:val="clear"/>
        <w:spacing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6"/>
          <w:szCs w:val="26"/>
          <w:rtl w:val="0"/>
        </w:rPr>
        <w:t xml:space="preserve">Option 2: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 Friday, Nov 3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vertAlign w:val="superscript"/>
          <w:rtl w:val="0"/>
        </w:rPr>
        <w:t xml:space="preserve">rd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12:00pm-1:30pm Math Physics Room 104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hd w:fill="ffffff" w:val="clear"/>
        <w:spacing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hd w:fill="ffffff" w:val="clear"/>
        <w:spacing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6"/>
          <w:szCs w:val="26"/>
          <w:rtl w:val="0"/>
        </w:rPr>
        <w:t xml:space="preserve">Option 3: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 Tuesday, Nov 7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 9:30am-11:00am Math Physics Room 104  </w:t>
      </w:r>
    </w:p>
    <w:p w:rsidR="00000000" w:rsidDel="00000000" w:rsidP="00000000" w:rsidRDefault="00000000" w:rsidRPr="00000000" w14:paraId="0000002D">
      <w:pPr>
        <w:widowControl w:val="0"/>
        <w:shd w:fill="ffffff" w:val="clear"/>
        <w:spacing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40"/>
          <w:szCs w:val="40"/>
          <w:rtl w:val="0"/>
        </w:rPr>
        <w:t xml:space="preserve">SLCE Journals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hd w:fill="ffffff" w:val="clear"/>
        <w:spacing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hd w:fill="ffffff" w:val="clear"/>
        <w:spacing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Complete 3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1c232"/>
          <w:sz w:val="26"/>
          <w:szCs w:val="26"/>
          <w:rtl w:val="0"/>
        </w:rPr>
        <w:t xml:space="preserve">SLCE JOURNALS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 WILL CLOSE EVERY SUNDAY, AS NOTED</w:t>
      </w:r>
    </w:p>
    <w:p w:rsidR="00000000" w:rsidDel="00000000" w:rsidP="00000000" w:rsidRDefault="00000000" w:rsidRPr="00000000" w14:paraId="00000031">
      <w:pPr>
        <w:widowControl w:val="0"/>
        <w:shd w:fill="ffffff" w:val="clear"/>
        <w:spacing w:line="276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36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Journal 1: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Oct. 15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vertAlign w:val="superscript"/>
          <w:rtl w:val="0"/>
        </w:rPr>
        <w:t xml:space="preserve">th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by 11:59 PM 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Journal 2: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Nov. 19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by 11:59 PM EST</w:t>
      </w:r>
    </w:p>
    <w:p w:rsidR="00000000" w:rsidDel="00000000" w:rsidP="00000000" w:rsidRDefault="00000000" w:rsidRPr="00000000" w14:paraId="00000034">
      <w:pPr>
        <w:widowControl w:val="0"/>
        <w:spacing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Journal 3: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Dec. 10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by 11:59 PM EST</w:t>
      </w:r>
    </w:p>
    <w:p w:rsidR="00000000" w:rsidDel="00000000" w:rsidP="00000000" w:rsidRDefault="00000000" w:rsidRPr="00000000" w14:paraId="00000035">
      <w:pPr>
        <w:widowControl w:val="0"/>
        <w:shd w:fill="ffffff" w:val="clear"/>
        <w:spacing w:line="360" w:lineRule="auto"/>
        <w:rPr>
          <w:rFonts w:ascii="Times New Roman" w:cs="Times New Roman" w:eastAsia="Times New Roman" w:hAnsi="Times New Roman"/>
          <w:b w:val="1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40"/>
          <w:szCs w:val="40"/>
          <w:rtl w:val="0"/>
        </w:rPr>
        <w:t xml:space="preserve">Data Collection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hd w:fill="ffffff" w:val="clear"/>
        <w:spacing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hd w:fill="ffffff" w:val="clear"/>
        <w:spacing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Complete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1c232"/>
          <w:sz w:val="26"/>
          <w:szCs w:val="26"/>
          <w:rtl w:val="0"/>
        </w:rPr>
        <w:t xml:space="preserve">Final Survey: </w:t>
      </w:r>
      <w:r w:rsidDel="00000000" w:rsidR="00000000" w:rsidRPr="00000000">
        <w:rPr>
          <w:rFonts w:ascii="Times New Roman" w:cs="Times New Roman" w:eastAsia="Times New Roman" w:hAnsi="Times New Roman"/>
          <w:color w:val="f1c232"/>
          <w:sz w:val="26"/>
          <w:szCs w:val="26"/>
          <w:rtl w:val="0"/>
        </w:rPr>
        <w:t xml:space="preserve">Self Evaluation and Site Evaluation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 on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6"/>
            <w:szCs w:val="26"/>
            <w:u w:val="single"/>
            <w:rtl w:val="0"/>
          </w:rPr>
          <w:t xml:space="preserve">Handshake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4"/>
        </w:numPr>
        <w:shd w:fill="ffffff" w:val="clear"/>
        <w:spacing w:line="276" w:lineRule="auto"/>
        <w:ind w:left="720" w:hanging="360"/>
        <w:rPr>
          <w:rFonts w:ascii="Times New Roman" w:cs="Times New Roman" w:eastAsia="Times New Roman" w:hAnsi="Times New Roman"/>
          <w:color w:val="222222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Email reminders will be sent directly to email inboxes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4"/>
        </w:numPr>
        <w:shd w:fill="ffffff" w:val="clear"/>
        <w:spacing w:line="276" w:lineRule="auto"/>
        <w:ind w:left="720" w:hanging="360"/>
        <w:rPr>
          <w:rFonts w:ascii="Times New Roman" w:cs="Times New Roman" w:eastAsia="Times New Roman" w:hAnsi="Times New Roman"/>
          <w:color w:val="222222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Access here: Students log in here with your myUMBC account</w:t>
      </w:r>
    </w:p>
    <w:p w:rsidR="00000000" w:rsidDel="00000000" w:rsidP="00000000" w:rsidRDefault="00000000" w:rsidRPr="00000000" w14:paraId="0000003C">
      <w:pPr>
        <w:widowControl w:val="0"/>
        <w:shd w:fill="ffffff" w:val="clear"/>
        <w:spacing w:line="276" w:lineRule="auto"/>
        <w:ind w:left="0" w:firstLine="0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hd w:fill="ffffff" w:val="clear"/>
        <w:spacing w:line="276" w:lineRule="auto"/>
        <w:ind w:left="0" w:firstLine="0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Submit 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1c232"/>
          <w:sz w:val="26"/>
          <w:szCs w:val="26"/>
          <w:rtl w:val="0"/>
        </w:rPr>
        <w:t xml:space="preserve">SLCE Timesheet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 on Blackboard </w:t>
      </w:r>
    </w:p>
    <w:p w:rsidR="00000000" w:rsidDel="00000000" w:rsidP="00000000" w:rsidRDefault="00000000" w:rsidRPr="00000000" w14:paraId="0000003E">
      <w:pPr>
        <w:widowControl w:val="0"/>
        <w:shd w:fill="ffffff" w:val="clear"/>
        <w:spacing w:line="276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hd w:fill="ffffff" w:val="clear"/>
        <w:spacing w:line="240" w:lineRule="auto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ind w:right="-720"/>
      <w:jc w:val="right"/>
      <w:rPr>
        <w:rFonts w:ascii="Times New Roman" w:cs="Times New Roman" w:eastAsia="Times New Roman" w:hAnsi="Times New Roman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sz w:val="26"/>
        <w:szCs w:val="26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5553075</wp:posOffset>
              </wp:positionH>
              <wp:positionV relativeFrom="page">
                <wp:posOffset>76200</wp:posOffset>
              </wp:positionV>
              <wp:extent cx="1847850" cy="7048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26838" y="3432338"/>
                        <a:ext cx="183832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The Shriver Center at UMBC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First Floor, Public Policy Building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P: (410) 455-2493    F: (410) 455-1074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shrivercenter.umbc.edu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114300" spcFirstLastPara="1" rIns="11430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5553075</wp:posOffset>
              </wp:positionH>
              <wp:positionV relativeFrom="page">
                <wp:posOffset>76200</wp:posOffset>
              </wp:positionV>
              <wp:extent cx="1847850" cy="7048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850" cy="704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-238124</wp:posOffset>
          </wp:positionH>
          <wp:positionV relativeFrom="paragraph">
            <wp:posOffset>-342899</wp:posOffset>
          </wp:positionV>
          <wp:extent cx="1905000" cy="54610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5000" cy="546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ind w:right="-720"/>
      <w:jc w:val="right"/>
      <w:rPr>
        <w:rFonts w:ascii="Times New Roman" w:cs="Times New Roman" w:eastAsia="Times New Roman" w:hAnsi="Times New Roman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sz w:val="26"/>
        <w:szCs w:val="26"/>
        <w:rtl w:val="0"/>
      </w:rPr>
      <w:t xml:space="preserve">PRAC 096 Dates of Importance Fall 2023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app.joinhandshake.com/auth?auth=3003" TargetMode="External"/><Relationship Id="rId10" Type="http://schemas.openxmlformats.org/officeDocument/2006/relationships/hyperlink" Target="https://vimeo.com/727077265/dcca892b2c" TargetMode="External"/><Relationship Id="rId12" Type="http://schemas.openxmlformats.org/officeDocument/2006/relationships/header" Target="header1.xml"/><Relationship Id="rId9" Type="http://schemas.openxmlformats.org/officeDocument/2006/relationships/hyperlink" Target="https://app.joinhandshake.com/auth?auth=3003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dd7qJ8sVGSoWwK8oQTpLX8PwyKX4skMhd2HA9gBwhFk/edit?usp=sharing" TargetMode="External"/><Relationship Id="rId7" Type="http://schemas.openxmlformats.org/officeDocument/2006/relationships/hyperlink" Target="https://airtable.com/app92eJoidXIwIikI/shrKn9uLyHWgYEXg0" TargetMode="External"/><Relationship Id="rId8" Type="http://schemas.openxmlformats.org/officeDocument/2006/relationships/hyperlink" Target="https://support.joinhandshake.com/hc/en-us/articles/360021199693-Submit-an-Experience-as-a-Student-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