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KG Consulting </w:t>
      </w:r>
    </w:p>
    <w:p w:rsidR="00000000" w:rsidDel="00000000" w:rsidP="00000000" w:rsidRDefault="00000000" w:rsidRPr="00000000" w14:paraId="00000002">
      <w:pPr>
        <w:jc w:val="center"/>
        <w:rPr>
          <w:b w:val="1"/>
        </w:rPr>
      </w:pPr>
      <w:r w:rsidDel="00000000" w:rsidR="00000000" w:rsidRPr="00000000">
        <w:rPr>
          <w:b w:val="1"/>
          <w:rtl w:val="0"/>
        </w:rPr>
        <w:t xml:space="preserve">Fundraising Fellowship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Launched in 2020, the KG Consulting Fundraising Fellowship trains, mentors, and supports the next generation of progressive fundraising professionals. We believe that increasing the diversity of the pipeline of fundraisers and supporting young fundraising professionals is critical to the success of the progressive movement, and strongly encourage people from diverse backgrounds including people of color, members of the LGBTQ+ community, disabled people, veterans, and others from historically underrepresented communities to apply.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Our immersive program provides fellows with a holistic understanding of fundraising and development in progressive political and non-profit organizations and the opportunity to connect with other professionals. Fellows attend weekly trainings on areas critical to development, such as prospect research, foundation and corporate fundraising, email outreach, stewardship of donors, cultivation of prospects, political fundraising, and end-of-year planning.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Fellows will: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Attend client and internal team meetings</w:t>
      </w: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Train with senior KGC staff on client engagement </w:t>
      </w: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Conduct research on high net worth individuals, companies, and foundations </w:t>
      </w: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Draft meeting agendas, notes, budgets, and communications</w:t>
      </w: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Learn and practice essential skills including project management, managing up, effective communications, and database management</w:t>
      </w: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turn, fellows gain a broad understanding of the fundraising profession through conversations with experts in the field. When feasible, KGC will also provide fellows with opportunities to pursue fundraising as a career upon completion of the program. </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Knowledge, Skills, and Abilities Desired</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An interest in working in the progressive nonprofit or political sector</w:t>
      </w: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Proactive attitude and a thirst for learning</w:t>
      </w: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Excellent interpersonal skills, with the ability to work independently but collaboratively</w:t>
      </w: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Excellent written and verbal communication skills</w:t>
      </w: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Excellent customer service skills</w:t>
      </w: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Detail-oriented and dependable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Applicant Availability</w:t>
      </w:r>
    </w:p>
    <w:p w:rsidR="00000000" w:rsidDel="00000000" w:rsidP="00000000" w:rsidRDefault="00000000" w:rsidRPr="00000000" w14:paraId="0000001A">
      <w:pPr>
        <w:rPr/>
      </w:pPr>
      <w:r w:rsidDel="00000000" w:rsidR="00000000" w:rsidRPr="00000000">
        <w:rPr>
          <w:rtl w:val="0"/>
        </w:rPr>
        <w:t xml:space="preserve">Applicants should be in the DMV, Washington DC metro area. The fellowship will run for 12 weeks from January to March 2022. All fellow hires will be required to share their vaccination card as this is an in-person opportunity.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Compensation</w:t>
      </w:r>
    </w:p>
    <w:p w:rsidR="00000000" w:rsidDel="00000000" w:rsidP="00000000" w:rsidRDefault="00000000" w:rsidRPr="00000000" w14:paraId="0000001D">
      <w:pPr>
        <w:rPr/>
      </w:pPr>
      <w:r w:rsidDel="00000000" w:rsidR="00000000" w:rsidRPr="00000000">
        <w:rPr>
          <w:rtl w:val="0"/>
        </w:rPr>
        <w:t xml:space="preserve">Fellows will be compensated at $17/hour. We will also provide a stipend for transit costs within the DMV area. Hours range from 15 to 20 hours a week. The actual schedule and daily hours will be contingent upon the fellow’s schedule.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To Apply </w:t>
      </w:r>
    </w:p>
    <w:p w:rsidR="00000000" w:rsidDel="00000000" w:rsidP="00000000" w:rsidRDefault="00000000" w:rsidRPr="00000000" w14:paraId="00000020">
      <w:pPr>
        <w:rPr/>
      </w:pPr>
      <w:r w:rsidDel="00000000" w:rsidR="00000000" w:rsidRPr="00000000">
        <w:rPr>
          <w:rtl w:val="0"/>
        </w:rPr>
        <w:t xml:space="preserve">Please apply </w:t>
      </w:r>
      <w:hyperlink r:id="rId7">
        <w:r w:rsidDel="00000000" w:rsidR="00000000" w:rsidRPr="00000000">
          <w:rPr>
            <w:color w:val="1155cc"/>
            <w:u w:val="single"/>
            <w:rtl w:val="0"/>
          </w:rPr>
          <w:t xml:space="preserve">here</w:t>
        </w:r>
      </w:hyperlink>
      <w:r w:rsidDel="00000000" w:rsidR="00000000" w:rsidRPr="00000000">
        <w:rPr>
          <w:rtl w:val="0"/>
        </w:rPr>
        <w:t xml:space="preserve">. Feel free to email </w:t>
      </w:r>
      <w:hyperlink r:id="rId8">
        <w:r w:rsidDel="00000000" w:rsidR="00000000" w:rsidRPr="00000000">
          <w:rPr>
            <w:color w:val="1155cc"/>
            <w:u w:val="single"/>
            <w:rtl w:val="0"/>
          </w:rPr>
          <w:t xml:space="preserve">jobs@kgconsulting.us</w:t>
        </w:r>
      </w:hyperlink>
      <w:r w:rsidDel="00000000" w:rsidR="00000000" w:rsidRPr="00000000">
        <w:rPr>
          <w:rtl w:val="0"/>
        </w:rPr>
        <w:t xml:space="preserve"> with any questions or concerns.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KG Consulting is an Equal Opportunity Employer. We strongly encourage people from diverse communities, including people of color, members of the LGBTQ+ community, disabled people, veterans, and others from historically underrepresented communities to apply. If accommodations would help make the recruiting process easier for you, please let us know.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eE56Bcm3XuRSDTzF9xTrnaCmDQHaekJDZ3rTKvn4Bt84W47w/viewform?usp=sf_link" TargetMode="External"/><Relationship Id="rId8" Type="http://schemas.openxmlformats.org/officeDocument/2006/relationships/hyperlink" Target="mailto:vsosagarnica@kgconsulti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IlaDqcT5Rw8wyN95c9bOBadig==">AMUW2mWY4sRWsXuPDNFbIsTvP4jyyF4Zx++adIu31QCIDMxGvuxupL/5sHWY+evyapvu0zEtXpX6MXgZ/ou26dWjIsbdjbxVc15fo3UB9nu6DvrMp+AINmk=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